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Sell now shows how the phone looks and uses shop words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every completed record you can see. On screen it is a dashboard. Click a box to download those rows. Print or download gives a branded management report. Opening stock is its own value, apart from later unpaid supplier bills.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Many at once (Excel) puts a whole shop on the system from one file as opening stock value. It is not a bill to pay. You can add a new supplier on that screen. One phone at a time is for a single phone in your hand with no bill.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marks it not paid yet, and scans three iPhone units one after another under the same PO.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the supplier, and whether it is paid. Add each IMEI or many lines, then save.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accepts one IMEI after another.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2026-09-15T17:57:26.341Z</dcterms:created>
  <dcterms:modified xsi:type="dcterms:W3CDTF">2026-09-15T17:57:26.343Z</dcterms:modified>
</cp:coreProperties>
</file>

<file path=docProps/custom.xml><?xml version="1.0" encoding="utf-8"?>
<Properties xmlns="http://schemas.openxmlformats.org/officeDocument/2006/custom-properties" xmlns:vt="http://schemas.openxmlformats.org/officeDocument/2006/docPropsVTypes"/>
</file>