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1.13</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Shop screens speak shop words, not computer notes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currently works in Ibadan only.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or Challenge manager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trace a carton if a unit is missing,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item has a name, an item code, a cost, a lowest price, a selling price, and a tracking type.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Goods intake adds Type-C charger cord. They pick No number (cords, chargers). Later a cashier can sell five cords without typing a phone number. The same day they add iPhone 15 Pro and pick Phone — IMEI, because every iPhone must keep its unique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add a test item only if Super Admin agrees you may create practice items. Pick the tracking type that matches the item.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Set cost, lowest price, and selling price.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item appears in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the add form.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is sell price minus cost on completed shop sales, plus profit kept on neighbor fills, minus approved expenses. Neighbor fill sales are not counted twice.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The boss asked to see that clearly.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Iwo Road shop sales profit and Challenge neighbor fill profit sit in two columns. Approved fuel is subtracted. Net is the figure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sales profit, neighbor fill profit, expenses, net, and By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shop sales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come from real invoices, fills, and approved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this page does not see 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and whether cashiers may sell below the lowest price. Only Super Admin can change these.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Iwo Road, Ibadan (head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page matches real figures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sales profit plus neighbor fill profit minus expenses. Neighbor fill invoices are not counted twice.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2026-09-07T14:34:12.988Z</dcterms:created>
  <dcterms:modified xsi:type="dcterms:W3CDTF">2026-09-07T14:34:12.991Z</dcterms:modified>
</cp:coreProperties>
</file>

<file path=docProps/custom.xml><?xml version="1.0" encoding="utf-8"?>
<Properties xmlns="http://schemas.openxmlformats.org/officeDocument/2006/custom-properties" xmlns:vt="http://schemas.openxmlformats.org/officeDocument/2006/docPropsVTypes"/>
</file>