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1.38</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working screens carry less teaching copy. Numbers stay in full</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what we paid, what we still owe, and what they owe us after send-backs. Click a box to see the houses that make that number. The list shows one summary row per house. Click IRIS, or any house, and the bills drop down with their values.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We still owe. Only IRIS stays. They click IRIS and the unpaid bill drops down with the naira. After they send five faulty phones back, They owe us shows if the send-back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We still owe. The list shows only houses with money still owed.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They owe us to see houses with a surplus after send-backs.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bought, paid, sent back,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They owe us is the surplus after phones were sent back, not a new bill.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The box fills. The form does not save. They fill the next IMEI and press Upload this stock when the carton line is complete.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how it looks, and the supplier. Then press Add phone to shop.</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2026-09-17T06:38:44.223Z</dcterms:created>
  <dcterms:modified xsi:type="dcterms:W3CDTF">2026-09-17T06:38:44.233Z</dcterms:modified>
</cp:coreProperties>
</file>

<file path=docProps/custom.xml><?xml version="1.0" encoding="utf-8"?>
<Properties xmlns="http://schemas.openxmlformats.org/officeDocument/2006/custom-properties" xmlns:vt="http://schemas.openxmlformats.org/officeDocument/2006/docPropsVTypes"/>
</file>