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6" w:before="3401"/>
        <w:jc w:val="center"/>
      </w:pPr>
      <w:r>
        <w:rPr>
          <w:rFonts w:ascii="Calibri Light" w:cs="Calibri Light" w:eastAsia="Calibri Light" w:hAnsi="Calibri Light"/>
          <w:b/>
          <w:bCs/>
          <w:smallCaps/>
          <w:color w:val="0070C0"/>
          <w:sz w:val="24"/>
          <w:szCs w:val="24"/>
        </w:rPr>
        <w:t xml:space="preserve">ORGANISATION TMPA DÉMO</w:t>
      </w:r>
    </w:p>
    <w:p/>
    <w:p/>
    <w:p>
      <w:pPr>
        <w:jc w:val="center"/>
      </w:pPr>
      <w:r>
        <w:rPr>
          <w:rFonts w:ascii="Calibri Light" w:cs="Calibri Light" w:eastAsia="Calibri Light" w:hAnsi="Calibri Light"/>
          <w:smallCaps/>
          <w:color w:val="4472C4"/>
          <w:sz w:val="20"/>
          <w:szCs w:val="20"/>
        </w:rPr>
        <w:t xml:space="preserve">CAHIER DES PRESCRIPTIONS SPÉCIALES</w:t>
      </w:r>
    </w:p>
    <w:p>
      <w:pPr>
        <w:spacing w:after="453" w:before="453"/>
        <w:jc w:val="center"/>
      </w:pPr>
      <w:r>
        <w:rPr>
          <w:rFonts w:ascii="Calibri" w:cs="Calibri" w:eastAsia="Calibri" w:hAnsi="Calibri"/>
          <w:b/>
          <w:bCs/>
          <w:color w:val="0F4761"/>
          <w:sz w:val="40"/>
          <w:szCs w:val="40"/>
        </w:rPr>
        <w:t xml:space="preserve">ez</w:t>
      </w:r>
    </w:p>
    <w:p/>
    <w:p>
      <w:pPr>
        <w:jc w:val="center"/>
      </w:pPr>
      <w:r>
        <w:rPr>
          <w:sz w:val="20"/>
          <w:szCs w:val="20"/>
        </w:rPr>
        <w:t xml:space="preserve">Types de projet : A, E</w:t>
      </w:r>
    </w:p>
    <w:p>
      <w:pPr>
        <w:jc w:val="center"/>
      </w:pPr>
      <w:r>
        <w:rPr>
          <w:sz w:val="20"/>
          <w:szCs w:val="20"/>
        </w:rPr>
        <w:t xml:space="preserve">Créé par : Créateur CPS</w:t>
      </w:r>
    </w:p>
    <w:p>
      <w:pPr>
        <w:jc w:val="center"/>
      </w:pPr>
      <w:r>
        <w:rPr>
          <w:sz w:val="20"/>
          <w:szCs w:val="20"/>
        </w:rPr>
        <w:t xml:space="preserve">Publié le : 01 juillet 2026</w:t>
      </w:r>
    </w:p>
    <w:p/>
    <w:p/>
    <w:p>
      <w:pPr>
        <w:pBdr>
          <w:top w:val="single" w:color="0070C0" w:sz="6"/>
          <w:bottom w:val="single" w:color="0070C0" w:sz="6"/>
        </w:pBdr>
        <w:spacing w:after="40" w:before="40"/>
        <w:jc w:val="center"/>
      </w:pPr>
      <w:r>
        <w:rPr>
          <w:rFonts w:ascii="Calibri Light" w:cs="Calibri Light" w:eastAsia="Calibri Light" w:hAnsi="Calibri Light"/>
          <w:b/>
          <w:bCs/>
          <w:smallCaps/>
          <w:color w:val="0070C0"/>
          <w:sz w:val="22"/>
          <w:szCs w:val="22"/>
        </w:rPr>
        <w:t xml:space="preserve">DRAFT_CMQZ8U2O</w:t>
      </w:r>
    </w:p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Sommaire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Préambule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 — Clauses Communes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II — Questionnaire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III — Clauses Techniques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IV — Définition des Prix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V — Bordereau des Prix et Estimation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Annexes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Préambule</w:t>
      </w:r>
    </w:p>
    <w:p>
      <w:r>
        <w:rPr>
          <w:sz w:val="22"/>
          <w:szCs w:val="22"/>
        </w:rPr>
        <w:t xml:space="preserve">Le présent CPS définit les conditions dans lesquelles seront exécutés les travaux.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I — Clauses Communes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II — Clauses Administratives et Financières Spécifiques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 — OBJET DU MARCHÉ</w:t>
      </w:r>
    </w:p>
    <w:p>
      <w:pPr>
        <w:jc w:val="both"/>
      </w:pPr>
      <w:r>
        <w:rPr>
          <w:sz w:val="22"/>
          <w:szCs w:val="22"/>
        </w:rPr>
        <w:t xml:space="preserve">Le présent marché a pour objet : </w:t>
      </w:r>
      <w:r>
        <w:rPr>
          <w:b/>
          <w:bCs/>
          <w:sz w:val="22"/>
          <w:szCs w:val="22"/>
        </w:rPr>
        <w:t xml:space="preserve">1REA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2.2 — INTERVENANTS</w:t>
      </w:r>
    </w:p>
    <w:p>
      <w:pPr>
        <w:jc w:val="both"/>
      </w:pPr>
      <w:r>
        <w:rPr>
          <w:sz w:val="22"/>
          <w:szCs w:val="22"/>
        </w:rPr>
        <w:t xml:space="preserve">Les intervenants du présent marché sont :</w:t>
      </w:r>
    </w:p>
    <w:p>
      <w:pPr>
        <w:jc w:val="both"/>
      </w:pPr>
      <w:r>
        <w:rPr>
          <w:b/>
          <w:bCs/>
          <w:sz w:val="22"/>
          <w:szCs w:val="22"/>
        </w:rPr>
        <w:t xml:space="preserve">Le Maître d'ouvrage : </w:t>
      </w:r>
      <w:r>
        <w:rPr>
          <w:sz w:val="22"/>
          <w:szCs w:val="22"/>
        </w:rPr>
        <w:t xml:space="preserve">Tanger Med Port Authority (TMPA)</w:t>
      </w:r>
    </w:p>
    <w:p>
      <w:pPr>
        <w:jc w:val="both"/>
      </w:pPr>
      <w:r>
        <w:rPr>
          <w:b/>
          <w:bCs/>
          <w:sz w:val="22"/>
          <w:szCs w:val="22"/>
        </w:rPr>
        <w:t xml:space="preserve">Le Maître d'œuvre (Architecte, BET) : </w:t>
      </w:r>
      <w:r>
        <w:rPr>
          <w:sz w:val="22"/>
          <w:szCs w:val="22"/>
        </w:rPr>
        <w:t xml:space="preserve">[À compléter]</w:t>
      </w:r>
    </w:p>
    <w:p>
      <w:pPr>
        <w:jc w:val="both"/>
      </w:pPr>
      <w:r>
        <w:rPr>
          <w:b/>
          <w:bCs/>
          <w:sz w:val="22"/>
          <w:szCs w:val="22"/>
        </w:rPr>
        <w:t xml:space="preserve">Bureau de Contrôle : </w:t>
      </w:r>
      <w:r>
        <w:rPr>
          <w:sz w:val="22"/>
          <w:szCs w:val="22"/>
        </w:rPr>
        <w:t xml:space="preserve">[À compléter]</w:t>
      </w:r>
    </w:p>
    <w:p>
      <w:pPr>
        <w:jc w:val="both"/>
      </w:pPr>
      <w:r>
        <w:rPr>
          <w:b/>
          <w:bCs/>
          <w:sz w:val="22"/>
          <w:szCs w:val="22"/>
        </w:rPr>
        <w:t xml:space="preserve">Cabinet topographique : </w:t>
      </w:r>
      <w:r>
        <w:rPr>
          <w:sz w:val="22"/>
          <w:szCs w:val="22"/>
        </w:rPr>
        <w:t xml:space="preserve">[À compléter]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2.3 — CONSISTANCE DES TRAVAUX</w:t>
      </w:r>
    </w:p>
    <w:p>
      <w:pPr>
        <w:jc w:val="both"/>
      </w:pPr>
      <w:r>
        <w:rPr>
          <w:sz w:val="22"/>
          <w:szCs w:val="22"/>
        </w:rPr>
        <w:t xml:space="preserve">Les travaux à exécuter consistent en ce qui suit 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[À compléter]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2.4 — RÉFÉRENCE AUX TEXTES SPÉCIAUX APPLICABLES AU MARCHÉ</w:t>
      </w:r>
    </w:p>
    <w:p>
      <w:pPr>
        <w:jc w:val="both"/>
      </w:pPr>
      <w:r>
        <w:rPr>
          <w:sz w:val="22"/>
          <w:szCs w:val="22"/>
        </w:rPr>
        <w:t xml:space="preserve">Le titulaire est également soumis aux textes suivants 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Devis général d'architecture (1956)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Règles BAEL / CCBA 68</w:t>
      </w:r>
    </w:p>
    <w:p>
      <w:pPr>
        <w:jc w:val="both"/>
      </w:pPr>
      <w:r>
        <w:rPr>
          <w:sz w:val="22"/>
          <w:szCs w:val="22"/>
        </w:rPr>
        <w:t xml:space="preserve">En cas de contradiction, les prescriptions des documents les plus récents primeront.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2.5 — CAUTIONNEMENT DÉFINITIF</w:t>
      </w:r>
    </w:p>
    <w:p>
      <w:pPr>
        <w:jc w:val="both"/>
      </w:pPr>
      <w:r>
        <w:rPr>
          <w:sz w:val="22"/>
          <w:szCs w:val="22"/>
        </w:rPr>
        <w:t xml:space="preserve">Le montant du cautionnement définitif est fixé à (3%) du montant initial du marché.</w:t>
      </w:r>
    </w:p>
    <w:p>
      <w:pPr>
        <w:jc w:val="both"/>
      </w:pPr>
      <w:r>
        <w:rPr>
          <w:sz w:val="22"/>
          <w:szCs w:val="22"/>
        </w:rPr>
        <w:t xml:space="preserve">Si non réalisé dans 30 jours → pénalité de 1% du montant initial.</w:t>
      </w:r>
    </w:p>
    <w:p>
      <w:pPr>
        <w:jc w:val="both"/>
      </w:pPr>
      <w:r>
        <w:rPr>
          <w:sz w:val="22"/>
          <w:szCs w:val="22"/>
        </w:rPr>
        <w:t xml:space="preserve">En cas de non-production, le montant total du cautionnement définitif sera retenu sur les sommes dues à partir du premier décompte.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2.6 — DURÉE, DÉLAI D'EXÉCUTION OU DATE D'ACHÈVEMENT</w:t>
      </w:r>
    </w:p>
    <w:p>
      <w:pPr>
        <w:jc w:val="both"/>
      </w:pPr>
      <w:r>
        <w:rPr>
          <w:sz w:val="22"/>
          <w:szCs w:val="22"/>
        </w:rPr>
        <w:t xml:space="preserve">Les prestations seront réalisées suivant les délais prescrits dans le tableau suivant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Délai d'exécution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de commencement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limite OSC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 de réception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ferme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(XXX) mois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OSC 1 (au plus tard 60 j après signature)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Achèvement sanctionné par PV de RP partielle</w:t>
            </w:r>
          </w:p>
        </w:tc>
      </w:tr>
    </w:tbl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2.7 — DÉLAI DE GARANTIE</w:t>
      </w:r>
    </w:p>
    <w:p>
      <w:pPr>
        <w:jc w:val="both"/>
      </w:pPr>
      <w:r>
        <w:rPr>
          <w:sz w:val="22"/>
          <w:szCs w:val="22"/>
        </w:rPr>
        <w:t xml:space="preserve">Le délai de garantie est fixé à </w:t>
      </w:r>
      <w:r>
        <w:rPr>
          <w:b/>
          <w:bCs/>
          <w:sz w:val="22"/>
          <w:szCs w:val="22"/>
        </w:rPr>
        <w:t xml:space="preserve">XXX</w:t>
      </w:r>
      <w:r>
        <w:rPr>
          <w:sz w:val="22"/>
          <w:szCs w:val="22"/>
        </w:rPr>
        <w:t xml:space="preserve"> à compter de la date de la réception provisoire.</w:t>
      </w:r>
    </w:p>
    <w:p>
      <w:pPr>
        <w:jc w:val="both"/>
      </w:pPr>
      <w:r>
        <w:rPr>
          <w:sz w:val="22"/>
          <w:szCs w:val="22"/>
        </w:rPr>
        <w:t xml:space="preserve">Pendant ce délai, l'entrepreneur remettra les plans conformes à l'exécution et remédiera à toutes les défectuosités constatées.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2.8 — PÉNALITÉS POUR RETARD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Tranche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Pénalités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ferme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X/1000 du montant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optionnelle N°1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X/1000 du montant</w:t>
            </w:r>
          </w:p>
        </w:tc>
      </w:tr>
    </w:tbl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Ces pénalités seront appliquées de plein droit sans mise en demeure.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Les journées de repos hebdomadaire et jours fériés ne sont pas déduites.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Lorsque le plafond est atteint, le MO est en droit de résilier le marché.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L'ensemble des pénalités est plafonné à (10%) du montant initial du marché.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2.9 — RÉVISION DES PRIX</w:t>
      </w:r>
    </w:p>
    <w:p>
      <w:pPr>
        <w:jc w:val="both"/>
      </w:pPr>
      <w:r>
        <w:rPr>
          <w:sz w:val="22"/>
          <w:szCs w:val="22"/>
        </w:rPr>
        <w:t xml:space="preserve">Les prix du marché sont fermes et non révisables.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2.10 — SOUS-TRAITANCE</w:t>
      </w:r>
    </w:p>
    <w:p>
      <w:pPr>
        <w:jc w:val="both"/>
      </w:pPr>
      <w:r>
        <w:rPr>
          <w:sz w:val="22"/>
          <w:szCs w:val="22"/>
        </w:rPr>
        <w:t xml:space="preserve">Accord préalable écrit du MO requis. La sous-traitance ne peut dépasser (50%) du montant du marché ni porter sur le lot principal.</w:t>
      </w:r>
    </w:p>
    <w:p>
      <w:pPr>
        <w:jc w:val="both"/>
      </w:pPr>
      <w:r>
        <w:rPr>
          <w:sz w:val="22"/>
          <w:szCs w:val="22"/>
        </w:rPr>
        <w:t xml:space="preserve">Le titulaire demeure personnellement responsable de toutes les obligations résultant du marché.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2.11 — APPROVISIONNEMENTS</w:t>
      </w:r>
    </w:p>
    <w:p>
      <w:pPr>
        <w:jc w:val="both"/>
      </w:pPr>
      <w:r>
        <w:rPr>
          <w:sz w:val="22"/>
          <w:szCs w:val="22"/>
        </w:rPr>
        <w:t xml:space="preserve">Le présent marché ne prévoit pas d'acomptes sur approvisionnements.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2.12 — CAS DE FORCE MAJEURE</w:t>
      </w:r>
    </w:p>
    <w:p>
      <w:pPr>
        <w:jc w:val="both"/>
      </w:pPr>
      <w:r>
        <w:rPr>
          <w:sz w:val="22"/>
          <w:szCs w:val="22"/>
        </w:rPr>
        <w:t xml:space="preserve">Événement imprévisible, irrésistible, hors du contrôle des parties rendant l'exécution pratiquement impossible. Seuils intempéries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Travaux Maritimes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Aménagement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Bâtiment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Pluie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mm/j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mm/j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mm/j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&gt;60 km/h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&gt;60 km/h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&gt;60 km/h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Séisme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4° Richter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4° Richter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4° Richter</w:t>
            </w:r>
          </w:p>
        </w:tc>
      </w:tr>
    </w:tbl>
    <w:p>
      <w:pPr>
        <w:jc w:val="both"/>
      </w:pPr>
      <w:r>
        <w:rPr>
          <w:sz w:val="22"/>
          <w:szCs w:val="22"/>
        </w:rPr>
        <w:t xml:space="preserve">Après 60 jours de force majeure, le marché peut être résilié.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2.13 — CONDITIONS ET EXÉCUTION DE LA VARIANTE</w:t>
      </w:r>
    </w:p>
    <w:p>
      <w:pPr>
        <w:jc w:val="both"/>
      </w:pPr>
      <w:r>
        <w:rPr>
          <w:sz w:val="22"/>
          <w:szCs w:val="22"/>
        </w:rPr>
        <w:t xml:space="preserve">Dispositions Non Applicables.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2.14 — RÉCEPTIONS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Réceptions provisoires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Réception définitive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 RP partielle sera déclarée après achèvement des prestations relatives à chaque tranche.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 RD partielle sera déclarée après la période de garantie relative à chaque tranche.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 RP globale sera déclarée en même temps que la dernière RP partielle.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RD globale sera déclarée après la période de garantie relative à la dernière tranche optionnelle.</w:t>
            </w:r>
          </w:p>
        </w:tc>
      </w:tr>
    </w:tbl>
    <w:p>
      <w:pPr>
        <w:jc w:val="both"/>
      </w:pPr>
      <w:r>
        <w:rPr>
          <w:i/>
          <w:iCs/>
          <w:sz w:val="22"/>
          <w:szCs w:val="22"/>
        </w:rPr>
        <w:t xml:space="preserve">Tranche optionnelle non activée dans le délai prévu = automatiquement résiliée.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III — Clauses Techniques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V — Bordereau des Prix et Estimation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 — Bordereau des Prix Détail</w:t>
      </w:r>
    </w:p>
    <w:p>
      <w:r>
        <w:rPr>
          <w:i/>
          <w:iCs/>
        </w:rPr>
        <w:t xml:space="preserve">Aucun prix défini.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B — Estimation</w:t>
      </w:r>
    </w:p>
    <w:p>
      <w:r>
        <w:rPr>
          <w:i/>
          <w:iCs/>
        </w:rPr>
        <w:t xml:space="preserve">Aucune estimation disponible.</w:t>
      </w:r>
    </w:p>
    <w:p>
      <w:pPr>
        <w:pageBreakBefore/>
      </w:pPr>
    </w:p>
    <w:sectPr>
      <w:footerReference w:type="default" r:id="rId7"/>
      <w:pgSz w:w="11905" w:h="16837" w:orient="portrait"/>
      <w:pgMar w:top="1440" w:right="1440" w:bottom="198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4" w:space="1"/>
      </w:pBdr>
      <w:jc w:val="right"/>
    </w:pPr>
    <w:r>
      <w:rPr>
        <w:rFonts w:ascii="Calibri Light" w:cs="Calibri Light" w:eastAsia="Calibri Light" w:hAnsi="Calibri Light"/>
        <w:b/>
        <w:bCs/>
        <w:smallCaps/>
        <w:color w:val="0070C0"/>
        <w:sz w:val="16"/>
        <w:szCs w:val="16"/>
      </w:rPr>
      <w:t xml:space="preserve">CAHIER DES CHARGES</w:t>
    </w:r>
    <w:r>
      <w:rPr>
        <w:rFonts w:ascii="Calibri Light" w:cs="Calibri Light" w:eastAsia="Calibri Light" w:hAnsi="Calibri Light"/>
        <w:smallCaps/>
        <w:sz w:val="16"/>
        <w:szCs w:val="16"/>
      </w:rPr>
      <w:br/>
      <w:t xml:space="preserve">DRAFT_CMQZ8U2O</w:t>
    </w:r>
    <w:r>
      <w:rPr>
        <w:rFonts w:ascii="Calibri Light" w:cs="Calibri Light" w:eastAsia="Calibri Light" w:hAnsi="Calibri Light"/>
        <w:sz w:val="14"/>
        <w:szCs w:val="14"/>
      </w:rPr>
      <w:br/>
      <w:t xml:space="preserve">Page </w:t>
    </w: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4"/>
        <w:szCs w:val="14"/>
      </w:rPr>
      <w:t xml:space="preserve"> | </w:t>
    </w: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96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2026-07-01T20:14:53.266Z</dcterms:created>
  <dcterms:modified xsi:type="dcterms:W3CDTF">2026-07-01T20:14:53.266Z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