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Procédures de virtualisation</w:t>
      </w:r>
    </w:p>
    <w:p>
      <w:pPr>
        <w:spacing w:after="120"/>
      </w:pPr>
      <w:r>
        <w:t>Création, gestion et maintenance de VMs sous Hyper‑V / VMware.</w:t>
      </w:r>
    </w:p>
    <w:p>
      <w:r>
        <w:rPr>
          <w:b/>
          <w:sz w:val="26"/>
        </w:rPr>
        <w:t>Bonnes pratiques</w:t>
      </w:r>
    </w:p>
    <w:p>
      <w:pPr>
        <w:pStyle w:val="ListBullet"/>
      </w:pPr>
      <w:r>
        <w:t>Templates, snapshots responsables, ressources, monitoring.</w:t>
      </w:r>
    </w:p>
    <w:p>
      <w:r>
        <w:rPr>
          <w:b/>
          <w:sz w:val="26"/>
        </w:rPr>
        <w:t>Sauvegarde/DRP</w:t>
      </w:r>
    </w:p>
    <w:p>
      <w:pPr>
        <w:pStyle w:val="ListBullet"/>
      </w:pPr>
      <w:r>
        <w:t>Backups VM, réplication, test de bascule, runbooks.</w:t>
      </w:r>
    </w:p>
    <w:p>
      <w:r>
        <w:t>— Document d’accompagnement du portfolio de Kamel Belmoussa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