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Mise en place du logiciel de ticketing Bobdesk</w:t>
      </w:r>
    </w:p>
    <w:p>
      <w:pPr>
        <w:spacing w:after="120"/>
      </w:pPr>
      <w:r>
        <w:t>Configuration et administration du système de tickets Bobdesk pour le support interne.</w:t>
      </w:r>
    </w:p>
    <w:p>
      <w:r>
        <w:rPr>
          <w:b/>
          <w:sz w:val="26"/>
        </w:rPr>
        <w:t>Objectifs</w:t>
      </w:r>
    </w:p>
    <w:p>
      <w:pPr>
        <w:pStyle w:val="ListBullet"/>
      </w:pPr>
      <w:r>
        <w:t>Centraliser les demandes utilisateurs et suivre les SLA.</w:t>
      </w:r>
    </w:p>
    <w:p>
      <w:pPr>
        <w:pStyle w:val="ListBullet"/>
      </w:pPr>
      <w:r>
        <w:t>Améliorer la visibilité et la priorisation des incidents.</w:t>
      </w:r>
    </w:p>
    <w:p>
      <w:r>
        <w:rPr>
          <w:b/>
          <w:sz w:val="26"/>
        </w:rPr>
        <w:t>Paramétrage clé</w:t>
      </w:r>
    </w:p>
    <w:p>
      <w:pPr>
        <w:pStyle w:val="ListBullet"/>
      </w:pPr>
      <w:r>
        <w:t>Catégories, priorités, impact/urgence, modèles de tickets.</w:t>
      </w:r>
    </w:p>
    <w:p>
      <w:pPr>
        <w:pStyle w:val="ListBullet"/>
      </w:pPr>
      <w:r>
        <w:t>Règles d’attribution, escalade, notifications e‑mail.</w:t>
      </w:r>
    </w:p>
    <w:p>
      <w:pPr>
        <w:pStyle w:val="ListBullet"/>
      </w:pPr>
      <w:r>
        <w:t>Tableau de bord (KPI) : volume, délais, backlog.</w:t>
      </w:r>
    </w:p>
    <w:p>
      <w:r>
        <w:rPr>
          <w:b/>
          <w:sz w:val="26"/>
        </w:rPr>
        <w:t>Processus</w:t>
      </w:r>
    </w:p>
    <w:p>
      <w:pPr>
        <w:pStyle w:val="ListBullet"/>
      </w:pPr>
      <w:r>
        <w:t>Collecte des besoins, workflow d’homologation, phase pilote.</w:t>
      </w:r>
    </w:p>
    <w:p>
      <w:pPr>
        <w:pStyle w:val="ListBullet"/>
      </w:pPr>
      <w:r>
        <w:t>Formation des utilisateurs et documentation interne.</w:t>
      </w:r>
    </w:p>
    <w:p>
      <w:r>
        <w:rPr>
          <w:b/>
          <w:sz w:val="26"/>
        </w:rPr>
        <w:t>Bonnes pratiques</w:t>
      </w:r>
    </w:p>
    <w:p>
      <w:pPr>
        <w:pStyle w:val="ListBullet"/>
      </w:pPr>
      <w:r>
        <w:t>Templates de réponses, base de connaissances, audits mensuels.</w:t>
      </w:r>
    </w:p>
    <w:p>
      <w:r>
        <w:rPr>
          <w:b/>
          <w:sz w:val="26"/>
        </w:rPr>
        <w:t>Bénéfices</w:t>
      </w:r>
    </w:p>
    <w:p>
      <w:pPr>
        <w:pStyle w:val="ListBullet"/>
      </w:pPr>
      <w:r>
        <w:t>Support plus réactif, meilleure qualité de service, données exploitables.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