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Procédures de sauvegarde</w:t>
      </w:r>
    </w:p>
    <w:p>
      <w:pPr>
        <w:spacing w:after="120"/>
      </w:pPr>
      <w:r>
        <w:t>Rotation, rétention et tests de restauration automatisés.</w:t>
      </w:r>
    </w:p>
    <w:p>
      <w:r>
        <w:rPr>
          <w:b/>
          <w:sz w:val="26"/>
        </w:rPr>
        <w:t>Stratégie</w:t>
      </w:r>
    </w:p>
    <w:p>
      <w:pPr>
        <w:pStyle w:val="ListBullet"/>
      </w:pPr>
      <w:r>
        <w:t>3‑2‑1 (3 copies, 2 supports, 1 offsite), RPO/RTO cibles.</w:t>
      </w:r>
    </w:p>
    <w:p>
      <w:r>
        <w:rPr>
          <w:b/>
          <w:sz w:val="26"/>
        </w:rPr>
        <w:t>Plan</w:t>
      </w:r>
    </w:p>
    <w:p>
      <w:pPr>
        <w:pStyle w:val="ListBullet"/>
      </w:pPr>
      <w:r>
        <w:t>Sauvegardes full/incrémentales, chiffrage, vérif d’intégrité.</w:t>
      </w:r>
    </w:p>
    <w:p>
      <w:pPr>
        <w:pStyle w:val="ListBullet"/>
      </w:pPr>
      <w:r>
        <w:t>Tests de restauration planifiés et journalisés.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