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Procédures réseau</w:t>
      </w:r>
    </w:p>
    <w:p>
      <w:pPr>
        <w:spacing w:after="120"/>
      </w:pPr>
      <w:r>
        <w:t>Adressage IP, VLANs, diagnostics et configuration réseau.</w:t>
      </w:r>
    </w:p>
    <w:p>
      <w:r>
        <w:rPr>
          <w:b/>
          <w:sz w:val="26"/>
        </w:rPr>
        <w:t>Standards</w:t>
      </w:r>
    </w:p>
    <w:p>
      <w:pPr>
        <w:pStyle w:val="ListBullet"/>
      </w:pPr>
      <w:r>
        <w:t>Plan IP, documentation VLAN, naming, sauvegarde configs.</w:t>
      </w:r>
    </w:p>
    <w:p>
      <w:r>
        <w:rPr>
          <w:b/>
          <w:sz w:val="26"/>
        </w:rPr>
        <w:t>Diag</w:t>
      </w:r>
    </w:p>
    <w:p>
      <w:pPr>
        <w:pStyle w:val="ListBullet"/>
      </w:pPr>
      <w:r>
        <w:t>Ping/trace/arp, capture (Wireshark), logs switch, boucles STP.</w:t>
      </w:r>
    </w:p>
    <w:p>
      <w:r>
        <w:t>— Document d’accompagnement du portfolio de Kamel Belmoussa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