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Procédures support</w:t>
      </w:r>
    </w:p>
    <w:p>
      <w:pPr>
        <w:spacing w:after="120"/>
      </w:pPr>
      <w:r>
        <w:t>Gestion des incidents et suivi des tickets selon les SLA.</w:t>
      </w:r>
    </w:p>
    <w:p>
      <w:r>
        <w:rPr>
          <w:b/>
          <w:sz w:val="26"/>
        </w:rPr>
        <w:t>Flux</w:t>
      </w:r>
    </w:p>
    <w:p>
      <w:pPr>
        <w:pStyle w:val="ListBullet"/>
      </w:pPr>
      <w:r>
        <w:t>Ouverture → qualification → priorisation → résolution → retour client.</w:t>
      </w:r>
    </w:p>
    <w:p>
      <w:pPr>
        <w:pStyle w:val="ListBullet"/>
      </w:pPr>
      <w:r>
        <w:t>Escalade L1/L2/L3, incidents majeurs (P1) et comms.</w:t>
      </w:r>
    </w:p>
    <w:p>
      <w:r>
        <w:rPr>
          <w:b/>
          <w:sz w:val="26"/>
        </w:rPr>
        <w:t>KPIs</w:t>
      </w:r>
    </w:p>
    <w:p>
      <w:pPr>
        <w:pStyle w:val="ListBullet"/>
      </w:pPr>
      <w:r>
        <w:t>Temps de réponse, de résolution, satisfaction, réouverture.</w:t>
      </w:r>
    </w:p>
    <w:p>
      <w:r>
        <w:t>— Document d’accompagnement du portfolio de Kamel Belmoussa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