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Infrastructure virtuelle</w:t>
      </w:r>
    </w:p>
    <w:p>
      <w:pPr>
        <w:spacing w:after="120"/>
      </w:pPr>
      <w:r>
        <w:t>Conception d’un réseau virtuel (VLAN, routage, pare-feu) avec Hyper‑V et pfSense.</w:t>
      </w:r>
    </w:p>
    <w:p>
      <w:r>
        <w:rPr>
          <w:b/>
          <w:sz w:val="26"/>
        </w:rPr>
        <w:t>Topo (exemple)</w:t>
      </w:r>
    </w:p>
    <w:p>
      <w:pPr>
        <w:pStyle w:val="ListBullet"/>
      </w:pPr>
      <w:r>
        <w:t>Hyper‑V : VM routeur (pfSense), VM serveur (AD/DNS/DHCP), VM clients.</w:t>
      </w:r>
    </w:p>
    <w:p>
      <w:pPr>
        <w:pStyle w:val="ListBullet"/>
      </w:pPr>
      <w:r>
        <w:t>VLAN séparation (prod, admin, invités).</w:t>
      </w:r>
    </w:p>
    <w:p>
      <w:r>
        <w:rPr>
          <w:b/>
          <w:sz w:val="26"/>
        </w:rPr>
        <w:t>Étapes</w:t>
      </w:r>
    </w:p>
    <w:p>
      <w:pPr>
        <w:pStyle w:val="ListBullet"/>
      </w:pPr>
      <w:r>
        <w:t>Installer pfSense, config WAN/LAN, DHCP/DNS, NAT/port‑forward.</w:t>
      </w:r>
    </w:p>
    <w:p>
      <w:pPr>
        <w:pStyle w:val="ListBullet"/>
      </w:pPr>
      <w:r>
        <w:t>Créer VLANs, règles firewall, tests de connectivité.</w:t>
      </w:r>
    </w:p>
    <w:p>
      <w:r>
        <w:rPr>
          <w:b/>
          <w:sz w:val="26"/>
        </w:rPr>
        <w:t>Docs livrables</w:t>
      </w:r>
    </w:p>
    <w:p>
      <w:pPr>
        <w:pStyle w:val="ListBullet"/>
      </w:pPr>
      <w:r>
        <w:t>Schéma réseau, table d’adressage, procédures, sauvegarde pfSense.</w:t>
      </w:r>
    </w:p>
    <w:p>
      <w:r>
        <w:t>— Document d’accompagnement du portfolio de Kamel Belmoussa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