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text was taken from document “Стандарт настройки Red Hat Enterprise Linux 5.x 6.x (security, pci dss and etc.)”.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Необходимо обеспечить ежедневный контроль целостности для критичных конфигурационных файлов системы, исполняемых и системных файлов, архивов журналов аудита. Для контроля целостности может использоваться OSSEC.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Отсутствие контроля целостности, позволяет осуществить неправомерное изменение критически важных настроек системы.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Список файлов для контроля целостности должен содержать следующие файлы: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/etc/.login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/etc/X11/gdm/gdm.conf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/etc/cron.allow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/etc/cron.deny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/etc/hosts.allow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/etc/hosts.deny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/etc/issue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/etc/motd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/etc/passwd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/etc/shadow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/etc/audit/auditd.conf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/etc/audit/audit.rules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/etc/ssh/sshd_config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/etc/syslog.conf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/etc/login.defs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/etc/pam.d/system-auth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так же содержимое следующих директорий: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/bin/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/usr/bin/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/usr/sbin/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/boot/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также все конфигурационные файлы прикладного ПО. Список конфигурационных файлов прикладного ПО, подлежащих контролю целостности должен быть согласован с лицом, ответственным за эксплуатацию прикладного ПО.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архивов журналов аудита также должен проводиться контроль целостности.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