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sz w:val="20"/>
        </w:rPr>
        <w:t>УДК 004.4'422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0"/>
        </w:rPr>
        <w:t>Оптимизация последовательностей проходов компилятора</w:t>
        <w:br/>
        <w:t>с применением методов каузального вывода</w:t>
      </w:r>
    </w:p>
    <w:p>
      <w:pPr>
        <w:spacing w:before="40" w:after="0"/>
        <w:jc w:val="center"/>
      </w:pPr>
      <w:r>
        <w:rPr>
          <w:rFonts w:ascii="Times New Roman" w:hAnsi="Times New Roman"/>
          <w:sz w:val="20"/>
        </w:rPr>
        <w:t>Белонин В. В.</w:t>
      </w:r>
      <w:r>
        <w:rPr>
          <w:rFonts w:ascii="Times New Roman" w:hAnsi="Times New Roman"/>
          <w:sz w:val="18"/>
          <w:vertAlign w:val="superscript"/>
        </w:rPr>
        <w:t>1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20"/>
        </w:rPr>
        <w:t>Ефанов Н. Н.</w:t>
      </w:r>
      <w:r>
        <w:rPr>
          <w:rFonts w:ascii="Times New Roman" w:hAnsi="Times New Roman"/>
          <w:sz w:val="18"/>
          <w:vertAlign w:val="superscript"/>
        </w:rPr>
        <w:t>1</w:t>
      </w:r>
    </w:p>
    <w:p>
      <w:pPr>
        <w:spacing w:before="0" w:after="120"/>
        <w:jc w:val="center"/>
      </w:pPr>
      <w:r>
        <w:rPr>
          <w:rFonts w:ascii="Times New Roman" w:hAnsi="Times New Roman"/>
          <w:sz w:val="18"/>
          <w:vertAlign w:val="superscript"/>
        </w:rPr>
        <w:t>1</w:t>
      </w:r>
      <w:r>
        <w:rPr>
          <w:rFonts w:ascii="Times New Roman" w:hAnsi="Times New Roman"/>
          <w:sz w:val="18"/>
        </w:rPr>
        <w:t xml:space="preserve"> Московский физико-технический институт (национальный исследовательский университет)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/>
          <w:i w:val="0"/>
          <w:sz w:val="20"/>
        </w:rPr>
        <w:t>Введение.</w:t>
      </w:r>
      <w:r>
        <w:rPr>
          <w:rFonts w:ascii="Times New Roman" w:hAnsi="Times New Roman"/>
          <w:b w:val="0"/>
          <w:i w:val="0"/>
          <w:sz w:val="20"/>
        </w:rPr>
        <w:t xml:space="preserve"> Проблема поиска порядка применения оптимизаций (</w:t>
      </w:r>
      <w:r>
        <w:rPr>
          <w:rFonts w:ascii="Times New Roman" w:hAnsi="Times New Roman"/>
          <w:b w:val="0"/>
          <w:i/>
          <w:sz w:val="20"/>
        </w:rPr>
        <w:t>phase ordering problem</w:t>
      </w:r>
      <w:r>
        <w:rPr>
          <w:rFonts w:ascii="Times New Roman" w:hAnsi="Times New Roman"/>
          <w:b w:val="0"/>
          <w:i w:val="0"/>
          <w:sz w:val="20"/>
        </w:rPr>
        <w:t>) является одной из ключевых задач в оптимизирующих компиляторах: порядок применения оптимизационных проходов существенно влияет на качество генерируемого кода [1]. Стандартные решения — фиксированные конвейеры вида -O2, -Oz — выбраны эмпирически и не учитывают особенностей конкретной программы.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t>Распространённый подход к поиску улучшенных последовательностей — сбор статистики по случайным перестановкам проходов с последующим построением корреляционного графа переходов [1]. Ребро A→B в таком графе означает, что переход от прохода A к проходу B часто встречается в выигрышных последовательностях. Однако данный подход имеет принципиальный недостаток: корреляция не равна причинно-следственной связи.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t>Рассмотрим пример. Пусть проходы A и B оба полезны сами по себе (каждый уменьшает размер кода). Тогда любая последовательность, содержащая оба прохода, с высокой вероятностью окажется выигрышной — и в корреляционном графе появится ребро A→B. Однако порядок A→B может быть абсолютно эквивалентен порядку B→A: сам факт наличия обоих проходов объясняет успех, а не их взаимное расположение. Строя последовательности на основе корреляционного графа, мы рискуем воспроизводить ложные зависимости.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t xml:space="preserve">Именно здесь необходим </w:t>
      </w:r>
      <w:r>
        <w:rPr>
          <w:rFonts w:ascii="Times New Roman" w:hAnsi="Times New Roman"/>
          <w:b w:val="0"/>
          <w:i/>
          <w:sz w:val="20"/>
        </w:rPr>
        <w:t>каузальный вывод</w:t>
      </w:r>
      <w:r>
        <w:rPr>
          <w:rFonts w:ascii="Times New Roman" w:hAnsi="Times New Roman"/>
          <w:b w:val="0"/>
          <w:i w:val="0"/>
          <w:sz w:val="20"/>
        </w:rPr>
        <w:t xml:space="preserve"> (</w:t>
      </w:r>
      <w:r>
        <w:rPr>
          <w:rFonts w:ascii="Times New Roman" w:hAnsi="Times New Roman"/>
          <w:b w:val="0"/>
          <w:i/>
          <w:sz w:val="20"/>
        </w:rPr>
        <w:t>causal inference</w:t>
      </w:r>
      <w:r>
        <w:rPr>
          <w:rFonts w:ascii="Times New Roman" w:hAnsi="Times New Roman"/>
          <w:b w:val="0"/>
          <w:i w:val="0"/>
          <w:sz w:val="20"/>
        </w:rPr>
        <w:t>) [2]: он позволяет оценить не «как часто A→B встречается в успешных последовательностях», а «улучшается ли результат именно из-за того, что A стоит перед B». Ключевое преимущество случайных перестановок проходов состоит в том, что они образуют приближённо рандомизированный эксперимент: каждый проход с одинаковой вероятностью оказывается до или после любого другого. Это является стандартным допущением для применения методов оценки среднего причинного эффекта (ATE) [2]. В данной работе предлагается применить методы каузального вывода для построения графа истинных причинно-следственных зависимостей между оптимизационными проходами компилятора с целью генерации оптимальных последовательностей для конкретных программ.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/>
          <w:i w:val="0"/>
          <w:sz w:val="20"/>
        </w:rPr>
        <w:t>Метод.</w:t>
      </w:r>
      <w:r>
        <w:rPr>
          <w:rFonts w:ascii="Times New Roman" w:hAnsi="Times New Roman"/>
          <w:b w:val="0"/>
          <w:i w:val="0"/>
          <w:sz w:val="20"/>
        </w:rPr>
        <w:t xml:space="preserve"> Для пары проходов (A, B) вводим: группа «treatment» — прогоны, где A стоит непосредственно перед B; группа «control» — прогоны, где B стоит непосредственно перед A. Средний причинный эффект:</w:t>
      </w:r>
    </w:p>
    <w:p>
      <w:pPr>
        <w:spacing w:before="40" w:after="40"/>
        <w:ind w:firstLine="0"/>
        <w:jc w:val="center"/>
      </w:pPr>
      <w:r>
        <w:rPr>
          <w:rFonts w:ascii="Times New Roman" w:hAnsi="Times New Roman"/>
          <w:i/>
          <w:sz w:val="20"/>
        </w:rPr>
        <w:t>ATE(A→B) = E[improvement | A перед B] − E[improvement | B перед A].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t>Ребро A→B включается в каузальный граф, если ATE(A→B) &gt; 0 и скорректированное p-значение p</w:t>
      </w:r>
      <w:r>
        <w:rPr>
          <w:rFonts w:ascii="Times New Roman" w:hAnsi="Times New Roman"/>
          <w:b w:val="0"/>
          <w:i/>
          <w:sz w:val="20"/>
        </w:rPr>
        <w:t>adj</w:t>
      </w:r>
      <w:r>
        <w:rPr>
          <w:rFonts w:ascii="Times New Roman" w:hAnsi="Times New Roman"/>
          <w:b w:val="0"/>
          <w:i w:val="0"/>
          <w:sz w:val="20"/>
        </w:rPr>
        <w:t xml:space="preserve"> &lt; 0.05 (коррекция Бенджамини–Хохберга на множественное тестирование при 2 652 проверяемых парах [3]). Дополнительно вычисляется условный ATE (CATE) [4] — отдельно для каждого бенчмарка — для учёта гетерогенности эффектов. Применяется упрощённый PC-алгоритм [5] для проверки наличия опосредующих переменных. Также выполняется позиционный анализ: для каждого прохода сравниваются средние улучшения при расположении в начале и в конце последовательности.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/>
          <w:i w:val="0"/>
          <w:sz w:val="20"/>
        </w:rPr>
        <w:t>Эксперимент.</w:t>
      </w:r>
      <w:r>
        <w:rPr>
          <w:rFonts w:ascii="Times New Roman" w:hAnsi="Times New Roman"/>
          <w:b w:val="0"/>
          <w:i w:val="0"/>
          <w:sz w:val="20"/>
        </w:rPr>
        <w:t xml:space="preserve"> Экспериментальная выборка собрана на наборе </w:t>
      </w:r>
      <w:r>
        <w:rPr>
          <w:rFonts w:ascii="Times New Roman" w:hAnsi="Times New Roman"/>
          <w:b w:val="0"/>
          <w:i/>
          <w:sz w:val="20"/>
        </w:rPr>
        <w:t>cBench</w:t>
      </w:r>
      <w:r>
        <w:rPr>
          <w:rFonts w:ascii="Times New Roman" w:hAnsi="Times New Roman"/>
          <w:b w:val="0"/>
          <w:i w:val="0"/>
          <w:sz w:val="20"/>
        </w:rPr>
        <w:t xml:space="preserve"> [6] (19 программ из доменов телекоммуникаций, криптографии, мультимедиа и автомобильных вычислений). В качестве компилятора использован LLVM 16 с </w:t>
      </w:r>
      <w:r>
        <w:rPr>
          <w:rFonts w:ascii="Times New Roman" w:hAnsi="Times New Roman"/>
          <w:b w:val="0"/>
          <w:i/>
          <w:sz w:val="20"/>
        </w:rPr>
        <w:t>legacy pass manager</w:t>
      </w:r>
      <w:r>
        <w:rPr>
          <w:rFonts w:ascii="Times New Roman" w:hAnsi="Times New Roman"/>
          <w:b w:val="0"/>
          <w:i w:val="0"/>
          <w:sz w:val="20"/>
        </w:rPr>
        <w:t>. Рассматривался набор из 52 оптимизационных проходов (объединение стандартного конвейера -Oz для legacy PM и расширенного набора проходов). Для каждого из 19 бенчмарков выполнено 5 000 прогонов со случайными подпоследовательностями переменной длины (от 10 до 30 проходов, сэмплирование без возвращения), итого 95 000 прогонов. Использование подпоследовательностей переменной длины — в отличие от полных перестановок — обеспечивает необходимую вариацию присутствия/отсутствия каждого прохода, что является условием идентификации каузальных эффектов. Метрика: размер LLVM bitcode файла после оптимизации; базовая линия — флаг -Oz.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/>
          <w:i w:val="0"/>
          <w:sz w:val="20"/>
        </w:rPr>
        <w:t>Результаты.</w:t>
      </w:r>
      <w:r>
        <w:rPr>
          <w:rFonts w:ascii="Times New Roman" w:hAnsi="Times New Roman"/>
          <w:b w:val="0"/>
          <w:i w:val="0"/>
          <w:sz w:val="20"/>
        </w:rPr>
        <w:t xml:space="preserve"> Из 2 652 возможных пар проходов корреляционный граф содержит 2 652 ребра (100% пар встречались в выигрышных последовательностях). После применения каузального анализа с коррекцией FDR выявлено </w:t>
      </w:r>
      <w:r>
        <w:rPr>
          <w:rFonts w:ascii="Times New Roman" w:hAnsi="Times New Roman"/>
          <w:b/>
          <w:i w:val="0"/>
          <w:sz w:val="20"/>
        </w:rPr>
        <w:t>358 значимых причинно-следственных связей</w:t>
      </w:r>
      <w:r>
        <w:rPr>
          <w:rFonts w:ascii="Times New Roman" w:hAnsi="Times New Roman"/>
          <w:b w:val="0"/>
          <w:i w:val="0"/>
          <w:sz w:val="20"/>
        </w:rPr>
        <w:t xml:space="preserve"> (13.5% от всех пар): подавляющее большинство корреляций (86.5%) являются ложными и не несут информации об оптимальном порядке проходов.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t xml:space="preserve">Среди 19 исследованных программ наибольший потенциал оптимизации продемонстрировали (доля случайных последовательностей, превзошедших -Oz): dijkstra — 87.3%, sha — 80.9%, crc32 — 79.7%, bitcount — 77.6%, stringsearch — 73.0%. Позиционный анализ выявил 15 проходов со статистически значимыми предпочтениями: проходы </w:t>
      </w:r>
      <w:r>
        <w:rPr>
          <w:rFonts w:ascii="Times New Roman" w:hAnsi="Times New Roman"/>
          <w:b w:val="0"/>
          <w:i/>
          <w:sz w:val="20"/>
        </w:rPr>
        <w:t>strip, gvn, simplifycfg, instcombine</w:t>
      </w:r>
      <w:r>
        <w:rPr>
          <w:rFonts w:ascii="Times New Roman" w:hAnsi="Times New Roman"/>
          <w:b w:val="0"/>
          <w:i w:val="0"/>
          <w:sz w:val="20"/>
        </w:rPr>
        <w:t xml:space="preserve"> дают лучший результат в конце последовательности; проходы </w:t>
      </w:r>
      <w:r>
        <w:rPr>
          <w:rFonts w:ascii="Times New Roman" w:hAnsi="Times New Roman"/>
          <w:b w:val="0"/>
          <w:i/>
          <w:sz w:val="20"/>
        </w:rPr>
        <w:t>instnamer, loop-reduce, loop-unroll, loop-rotate</w:t>
      </w:r>
      <w:r>
        <w:rPr>
          <w:rFonts w:ascii="Times New Roman" w:hAnsi="Times New Roman"/>
          <w:b w:val="0"/>
          <w:i w:val="0"/>
          <w:sz w:val="20"/>
        </w:rPr>
        <w:t xml:space="preserve"> — в начале.</w:t>
      </w:r>
    </w:p>
    <w:p>
      <w:pPr>
        <w:spacing w:before="0" w:after="0"/>
        <w:ind w:firstLine="425"/>
        <w:jc w:val="both"/>
      </w:pPr>
      <w:r>
        <w:rPr>
          <w:rFonts w:ascii="Times New Roman" w:hAnsi="Times New Roman"/>
          <w:b/>
          <w:i w:val="0"/>
          <w:sz w:val="20"/>
        </w:rPr>
        <w:t>Заключение.</w:t>
      </w:r>
      <w:r>
        <w:rPr>
          <w:rFonts w:ascii="Times New Roman" w:hAnsi="Times New Roman"/>
          <w:b w:val="0"/>
          <w:i w:val="0"/>
          <w:sz w:val="20"/>
        </w:rPr>
        <w:t xml:space="preserve"> Предложен метод на основе каузального вывода для построения графа истинных зависимостей между оптимизационными проходами компилятора LLVM. Из 2 652 корреляций отфильтровано 358 значимых причинно-следственных связей, которые используются для генерации оптимизированных последовательностей проходов. Разработаны стратегии обхода каузального графа: жадный алгоритм, поиск с лучом, MCTS. Применение CATE позволяет учитывать гетерогенные эффекты для разных классов программ. Направления дальнейшей работы: расширение набора бенчмарков, переход к метрике времени выполнения, применение структурных уравнений (SEM) для более детального моделирования зависимостей.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/>
          <w:b/>
          <w:sz w:val="20"/>
        </w:rPr>
        <w:t>Литература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1. Fursin G. et al. Milepost GCC: Machine learning enabled self-tuning compiler // International Journal of Parallel Programming. 2011. Vol. 39(3). P. 296–327.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2. Pearl J. Causality: Models, Reasoning and Inference. 2nd ed. Cambridge University Press, 2009. 464 p.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3. Benjamini Y., Hochberg Y. Controlling the false discovery rate: a practical and powerful approach to multiple testing // Journal of the Royal Statistical Society. Series B. 1995. Vol. 57(1). P. 289–300.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4. Athey S., Imbens G. W. Recursive partitioning for heterogeneous causal effects // Proceedings of the National Academy of Sciences. 2016. Vol. 113(27). P. 7353–7360.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5. Spirtes P., Glymour C., Scheines R. Causation, Prediction, and Search. 2nd ed. MIT Press, 2000. 543 p.</w:t>
      </w:r>
    </w:p>
    <w:p>
      <w:pPr>
        <w:spacing w:before="0" w:after="20"/>
        <w:ind w:firstLine="0"/>
        <w:jc w:val="both"/>
      </w:pPr>
      <w:r>
        <w:rPr>
          <w:rFonts w:ascii="Times New Roman" w:hAnsi="Times New Roman"/>
          <w:sz w:val="18"/>
        </w:rPr>
        <w:t>6. Fursin G., Miranda C., Temam O. et al. A Practical Method For Quickly Evaluating Program Optimizations // HiPEAC'07. Ghent, 2007. P. 29–46.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