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/>
      </w:pPr>
      <w:r>
        <w:rPr>
          <w:rFonts w:ascii="Arial" w:hAnsi="Arial"/>
          <w:b/>
          <w:color w:val="7FD6B5"/>
          <w:sz w:val="18"/>
        </w:rPr>
        <w:t>NIVARA PLATFORM (ANNA) — DATABASE DESIGN SPECIFICATION</w:t>
      </w:r>
    </w:p>
    <w:p>
      <w:pPr>
        <w:spacing w:after="120"/>
      </w:pPr>
      <w:r>
        <w:rPr>
          <w:rFonts w:ascii="Arial" w:hAnsi="Arial"/>
          <w:b/>
          <w:color w:val="0A2540"/>
          <w:sz w:val="28"/>
        </w:rPr>
        <w:t>Core Schema Map, ER Diagram &amp; Data Permissions</w:t>
      </w:r>
    </w:p>
    <w:p>
      <w:pPr>
        <w:keepNext/>
        <w:spacing w:before="80" w:after="40"/>
      </w:pPr>
      <w:r>
        <w:rPr>
          <w:rFonts w:ascii="Arial" w:hAnsi="Arial"/>
          <w:b/>
          <w:color w:val="0A2540"/>
          <w:sz w:val="22"/>
        </w:rPr>
        <w:t>1. Core Tables &amp; Descriptions (Step 36)</w:t>
      </w:r>
    </w:p>
    <w:p>
      <w:pPr>
        <w:pStyle w:val="ListBullet"/>
        <w:spacing w:after="20" w:before="0"/>
      </w:pPr>
      <w:r>
        <w:rPr>
          <w:rFonts w:ascii="Arial" w:hAnsi="Arial"/>
          <w:b/>
          <w:sz w:val="17"/>
        </w:rPr>
        <w:t xml:space="preserve">User: </w:t>
      </w:r>
      <w:r>
        <w:rPr>
          <w:rFonts w:ascii="Arial" w:hAnsi="Arial"/>
          <w:sz w:val="17"/>
        </w:rPr>
        <w:t>Stores profiles and credentials for Customers, Vendors, and Admins.</w:t>
      </w:r>
    </w:p>
    <w:p>
      <w:pPr>
        <w:pStyle w:val="ListBullet"/>
        <w:spacing w:after="20" w:before="0"/>
      </w:pPr>
      <w:r>
        <w:rPr>
          <w:rFonts w:ascii="Arial" w:hAnsi="Arial"/>
          <w:b/>
          <w:sz w:val="17"/>
        </w:rPr>
        <w:t xml:space="preserve">KYCDocument: </w:t>
      </w:r>
      <w:r>
        <w:rPr>
          <w:rFonts w:ascii="Arial" w:hAnsi="Arial"/>
          <w:sz w:val="17"/>
        </w:rPr>
        <w:t>Stores identity verification files uploaded by customers for trust verification.</w:t>
      </w:r>
    </w:p>
    <w:p>
      <w:pPr>
        <w:pStyle w:val="ListBullet"/>
        <w:spacing w:after="20" w:before="0"/>
      </w:pPr>
      <w:r>
        <w:rPr>
          <w:rFonts w:ascii="Arial" w:hAnsi="Arial"/>
          <w:b/>
          <w:sz w:val="17"/>
        </w:rPr>
        <w:t xml:space="preserve">VendorProfile: </w:t>
      </w:r>
      <w:r>
        <w:rPr>
          <w:rFonts w:ascii="Arial" w:hAnsi="Arial"/>
          <w:sz w:val="17"/>
        </w:rPr>
        <w:t>Stores partner business profiles, ratings, and platform verification statuses.</w:t>
      </w:r>
    </w:p>
    <w:p>
      <w:pPr>
        <w:pStyle w:val="ListBullet"/>
        <w:spacing w:after="20" w:before="0"/>
      </w:pPr>
      <w:r>
        <w:rPr>
          <w:rFonts w:ascii="Arial" w:hAnsi="Arial"/>
          <w:b/>
          <w:sz w:val="17"/>
        </w:rPr>
        <w:t xml:space="preserve">Van (Listing): </w:t>
      </w:r>
      <w:r>
        <w:rPr>
          <w:rFonts w:ascii="Arial" w:hAnsi="Arial"/>
          <w:sz w:val="17"/>
        </w:rPr>
        <w:t>Stores specifications, location, amenities, and hourly pricing for wellness pods.</w:t>
      </w:r>
    </w:p>
    <w:p>
      <w:pPr>
        <w:pStyle w:val="ListBullet"/>
        <w:spacing w:after="20" w:before="0"/>
      </w:pPr>
      <w:r>
        <w:rPr>
          <w:rFonts w:ascii="Arial" w:hAnsi="Arial"/>
          <w:b/>
          <w:sz w:val="17"/>
        </w:rPr>
        <w:t xml:space="preserve">Booking: </w:t>
      </w:r>
      <w:r>
        <w:rPr>
          <w:rFonts w:ascii="Arial" w:hAnsi="Arial"/>
          <w:sz w:val="17"/>
        </w:rPr>
        <w:t>Records customer slot reservations, selected custom presets, and session statuses.</w:t>
      </w:r>
    </w:p>
    <w:p>
      <w:pPr>
        <w:keepNext/>
        <w:spacing w:before="120" w:after="40"/>
      </w:pPr>
      <w:r>
        <w:rPr>
          <w:rFonts w:ascii="Arial" w:hAnsi="Arial"/>
          <w:b/>
          <w:color w:val="0A2540"/>
          <w:sz w:val="22"/>
        </w:rPr>
        <w:t>2. Key Columns &amp; Relationship Links (Step 37)</w:t>
      </w:r>
    </w:p>
    <w:p>
      <w:pPr>
        <w:pStyle w:val="ListBullet"/>
        <w:spacing w:after="20" w:before="0"/>
      </w:pPr>
      <w:r>
        <w:rPr>
          <w:rFonts w:ascii="Arial" w:hAnsi="Arial"/>
          <w:b/>
          <w:sz w:val="17"/>
        </w:rPr>
        <w:t xml:space="preserve">User: </w:t>
      </w:r>
      <w:r>
        <w:rPr>
          <w:rFonts w:ascii="Arial" w:hAnsi="Arial"/>
          <w:sz w:val="17"/>
        </w:rPr>
        <w:t>id [🔑], name, email [⚡ unique], phone, role [CUSTOMER/VENDOR/ADMIN], kycStatus</w:t>
      </w:r>
    </w:p>
    <w:p>
      <w:pPr>
        <w:pStyle w:val="ListBullet"/>
        <w:spacing w:after="20" w:before="0"/>
      </w:pPr>
      <w:r>
        <w:rPr>
          <w:rFonts w:ascii="Arial" w:hAnsi="Arial"/>
          <w:b/>
          <w:sz w:val="17"/>
        </w:rPr>
        <w:t xml:space="preserve">KYCDocument: </w:t>
      </w:r>
      <w:r>
        <w:rPr>
          <w:rFonts w:ascii="Arial" w:hAnsi="Arial"/>
          <w:sz w:val="17"/>
        </w:rPr>
        <w:t>id [🔑], userId [🔗 links to User.id], docType, fileUrl, status [PENDING/VERIFIED/REJECTED]</w:t>
      </w:r>
    </w:p>
    <w:p>
      <w:pPr>
        <w:pStyle w:val="ListBullet"/>
        <w:spacing w:after="20" w:before="0"/>
      </w:pPr>
      <w:r>
        <w:rPr>
          <w:rFonts w:ascii="Arial" w:hAnsi="Arial"/>
          <w:b/>
          <w:sz w:val="17"/>
        </w:rPr>
        <w:t xml:space="preserve">VendorProfile: </w:t>
      </w:r>
      <w:r>
        <w:rPr>
          <w:rFonts w:ascii="Arial" w:hAnsi="Arial"/>
          <w:sz w:val="17"/>
        </w:rPr>
        <w:t>id [🔑], userId [🔗 links to User.id], businessName, verificationStatus, ratingAvg</w:t>
      </w:r>
    </w:p>
    <w:p>
      <w:pPr>
        <w:pStyle w:val="ListBullet"/>
        <w:spacing w:after="20" w:before="0"/>
      </w:pPr>
      <w:r>
        <w:rPr>
          <w:rFonts w:ascii="Arial" w:hAnsi="Arial"/>
          <w:b/>
          <w:sz w:val="17"/>
        </w:rPr>
        <w:t xml:space="preserve">Van (Listing): </w:t>
      </w:r>
      <w:r>
        <w:rPr>
          <w:rFonts w:ascii="Arial" w:hAnsi="Arial"/>
          <w:sz w:val="17"/>
        </w:rPr>
        <w:t>id [🔑], vendorId [🔗 links to VendorProfile.id], title, latitude/longitude, basePrice15/30/45</w:t>
      </w:r>
    </w:p>
    <w:p>
      <w:pPr>
        <w:pStyle w:val="ListBullet"/>
        <w:spacing w:after="20" w:before="0"/>
      </w:pPr>
      <w:r>
        <w:rPr>
          <w:rFonts w:ascii="Arial" w:hAnsi="Arial"/>
          <w:b/>
          <w:sz w:val="17"/>
        </w:rPr>
        <w:t xml:space="preserve">Booking: </w:t>
      </w:r>
      <w:r>
        <w:rPr>
          <w:rFonts w:ascii="Arial" w:hAnsi="Arial"/>
          <w:sz w:val="17"/>
        </w:rPr>
        <w:t>id [🔑], customerId [🔗 User.id], vanId [🔗 Van.id], vendorId [🔗 VendorProfile.id], status, bookingCode</w:t>
      </w:r>
    </w:p>
    <w:p>
      <w:pPr>
        <w:keepNext/>
        <w:spacing w:before="120" w:after="40"/>
      </w:pPr>
      <w:r>
        <w:rPr>
          <w:rFonts w:ascii="Arial" w:hAnsi="Arial"/>
          <w:b/>
          <w:color w:val="0A2540"/>
          <w:sz w:val="22"/>
        </w:rPr>
        <w:t>3. Entity-Relationship (ER) Diagram (Step 38)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before="0"/>
            </w:pPr>
            <w:r>
              <w:rPr>
                <w:rFonts w:ascii="Courier New" w:hAnsi="Courier New"/>
                <w:b/>
                <w:color w:val="333333"/>
                <w:sz w:val="16"/>
              </w:rPr>
              <w:t>User ||--o{ KYCDocument (uploads) | User ||--o| VendorProfile (registers) | User ||--o{ Booking (makes)</w:t>
              <w:br/>
              <w:t>VendorProfile ||--o{ Van (owns) | VendorProfile ||--o{ Booking (receives) | Van ||--o{ Booking (reserved_in)</w:t>
            </w:r>
          </w:p>
        </w:tc>
      </w:tr>
    </w:tbl>
    <w:p>
      <w:pPr>
        <w:keepNext/>
        <w:spacing w:before="120" w:after="40"/>
      </w:pPr>
      <w:r>
        <w:rPr>
          <w:rFonts w:ascii="Arial" w:hAnsi="Arial"/>
          <w:b/>
          <w:color w:val="0A2540"/>
          <w:sz w:val="22"/>
        </w:rPr>
        <w:t>4. Data Access Permissions (Step 39)</w:t>
      </w:r>
    </w:p>
    <w:p>
      <w:pPr>
        <w:pStyle w:val="ListBullet"/>
        <w:spacing w:after="20" w:before="0"/>
      </w:pPr>
      <w:r>
        <w:rPr>
          <w:rFonts w:ascii="Arial" w:hAnsi="Arial"/>
          <w:b/>
          <w:sz w:val="17"/>
        </w:rPr>
        <w:t xml:space="preserve">Customers: </w:t>
      </w:r>
      <w:r>
        <w:rPr>
          <w:rFonts w:ascii="Arial" w:hAnsi="Arial"/>
          <w:sz w:val="17"/>
        </w:rPr>
        <w:t>Can edit own User details and upload own KYCDocuments. Can search/read active Vans, and view/create own Booking records. Cannot access other users' data.</w:t>
      </w:r>
    </w:p>
    <w:p>
      <w:pPr>
        <w:pStyle w:val="ListBullet"/>
        <w:spacing w:after="20" w:before="0"/>
      </w:pPr>
      <w:r>
        <w:rPr>
          <w:rFonts w:ascii="Arial" w:hAnsi="Arial"/>
          <w:b/>
          <w:sz w:val="17"/>
        </w:rPr>
        <w:t xml:space="preserve">Vendors: </w:t>
      </w:r>
      <w:r>
        <w:rPr>
          <w:rFonts w:ascii="Arial" w:hAnsi="Arial"/>
          <w:sz w:val="17"/>
        </w:rPr>
        <w:t>Can manage own business VendorProfile, list/edit own Vans, and view Bookings reserved for their vans. Cannot view other vendors' metrics or customer ID docs.</w:t>
      </w:r>
    </w:p>
    <w:p>
      <w:pPr>
        <w:pStyle w:val="ListBullet"/>
        <w:spacing w:after="20" w:before="0"/>
      </w:pPr>
      <w:r>
        <w:rPr>
          <w:rFonts w:ascii="Arial" w:hAnsi="Arial"/>
          <w:b/>
          <w:sz w:val="17"/>
        </w:rPr>
        <w:t xml:space="preserve">Admins: </w:t>
      </w:r>
      <w:r>
        <w:rPr>
          <w:rFonts w:ascii="Arial" w:hAnsi="Arial"/>
          <w:sz w:val="17"/>
        </w:rPr>
        <w:t>Full platform override. Can read/write all tables to verify portfolios, approve/reject customer KYC documents, issue refunds, and review immutable AdminAuditLogs.</w:t>
      </w:r>
    </w:p>
    <w:p>
      <w:pPr>
        <w:pStyle w:val="ListBullet"/>
        <w:spacing w:after="20" w:before="0"/>
      </w:pPr>
      <w:r>
        <w:rPr>
          <w:rFonts w:ascii="Arial" w:hAnsi="Arial"/>
          <w:b/>
          <w:sz w:val="17"/>
        </w:rPr>
        <w:t xml:space="preserve">Public Guests: </w:t>
      </w:r>
      <w:r>
        <w:rPr>
          <w:rFonts w:ascii="Arial" w:hAnsi="Arial"/>
          <w:sz w:val="17"/>
        </w:rPr>
        <w:t>Read-only access to browse active Vans and slot availability. Cannot view any user accounts, bookings, or transaction details.</w:t>
      </w:r>
    </w:p>
    <w:sectPr w:rsidR="00FC693F" w:rsidRPr="0006063C" w:rsidSect="00034616"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