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Reflexione sobre esto</w:t>
      </w:r>
    </w:p>
    <w:p>
      <w:pPr>
        <w:pStyle w:val="Heading1"/>
      </w:pPr>
      <w:r>
        <w:t xml:space="preserve">Reflexionar</w:t>
      </w:r>
    </w:p>
    <w:p>
      <w:r>
        <w:rPr>
          <w:b/>
          <w:bCs/>
          <w:sz w:val="28"/>
          <w:szCs w:val="28"/>
        </w:rPr>
        <w:br/>
      </w:r>
      <w:r>
        <w:rPr>
          <w:sz w:val="28"/>
          <w:szCs w:val="28"/>
        </w:rPr>
        <w:br/>
        <w:t xml:space="preserve">Es una poderosa herramienta que nos ayuda o apoya en la busqueda de soluciones a situaciones diversas.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2026-09-09T23:15:58.934Z</dcterms:created>
  <dcterms:modified xsi:type="dcterms:W3CDTF">2026-09-09T23:15:58.935Z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