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Breve biografía del Beato Segura.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Martirologio Romano: En Gabasa, pueblo de la provincia de Zaragoza, en España, beatos Manuel Segura, presbítero, y David Carlos, religioso de la Orden de los Clérigos Regulares de las Escuelas Pías, mártires durante la persecución contra la Iglesia durante la guerra civil española(1936).Nació en Almonacid de la Sierra (Zaragoza), el 21 de enero de 1881. Vistió el hábito escolapio en Peralta de las Sal (Huesca) el 1 de noviembre de 1899 y fue ordenado sacerdote en Barbastro el 25 de mayo de 1907.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 Manuel Segura cumplió su misión de maestro y educador en los colegios escolapios de Barbastro, Tamarite, Pamplona y Tafalla. Cuando el santuario calasancio de Peralta fue cercado por los milicianos armados, los novicios estaban jugando al fútbol en el patio. El p. Segura, su maestro, les exhortó a pasar del deporte al martirio. Ellos se libraron y lo recuerdan como un educador lleno de ternura. Recibió la corona del martirio el 28 de julio de 1936, tenía 55 años de edad.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color w:val="36383d"/>
          <w:sz w:val="27"/>
          <w:szCs w:val="27"/>
          <w:highlight w:val="white"/>
        </w:rPr>
      </w:pPr>
      <w:r w:rsidDel="00000000" w:rsidR="00000000" w:rsidRPr="00000000">
        <w:rPr>
          <w:rFonts w:ascii="Verdana" w:cs="Verdana" w:eastAsia="Verdana" w:hAnsi="Verdana"/>
          <w:b w:val="1"/>
          <w:color w:val="36383d"/>
          <w:sz w:val="27"/>
          <w:szCs w:val="27"/>
          <w:highlight w:val="white"/>
        </w:rPr>
        <w:drawing>
          <wp:inline distB="114300" distT="114300" distL="114300" distR="114300">
            <wp:extent cx="1905000" cy="190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36383d"/>
          <w:sz w:val="27"/>
          <w:szCs w:val="27"/>
          <w:highlight w:val="white"/>
        </w:rPr>
      </w:pPr>
      <w:r w:rsidDel="00000000" w:rsidR="00000000" w:rsidRPr="00000000">
        <w:rPr>
          <w:rFonts w:ascii="Verdana" w:cs="Verdana" w:eastAsia="Verdana" w:hAnsi="Verdana"/>
          <w:b w:val="1"/>
          <w:color w:val="36383d"/>
          <w:sz w:val="27"/>
          <w:szCs w:val="27"/>
          <w:highlight w:val="white"/>
        </w:rPr>
        <w:drawing>
          <wp:inline distB="114300" distT="114300" distL="114300" distR="114300">
            <wp:extent cx="1628775" cy="2286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877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Verdana" w:cs="Verdana" w:eastAsia="Verdana" w:hAnsi="Verdana"/>
          <w:b w:val="1"/>
          <w:color w:val="36383d"/>
          <w:sz w:val="27"/>
          <w:szCs w:val="27"/>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Bibliografía: Católica.net-Manuel Segura Beato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