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F3864"/>
          <w:sz w:val="40"/>
          <w:szCs w:val="40"/>
        </w:rPr>
        <w:t xml:space="preserve">Plugin GLPI 11 — BackupGestion</w:t>
      </w:r>
    </w:p>
    <w:p>
      <w:pPr>
        <w:spacing w:after="100"/>
        <w:jc w:val="center"/>
      </w:pPr>
      <w:r>
        <w:rPr>
          <w:color w:val="595959"/>
          <w:sz w:val="28"/>
          <w:szCs w:val="28"/>
        </w:rPr>
        <w:t xml:space="preserve">Gestion multi-provider des sauvegardes — Version 1 (Acronis)</w:t>
      </w:r>
    </w:p>
    <w:p>
      <w:pPr>
        <w:spacing w:after="600"/>
        <w:jc w:val="center"/>
      </w:pPr>
      <w:r>
        <w:rPr>
          <w:i/>
          <w:iCs/>
          <w:color w:val="D97706"/>
          <w:sz w:val="24"/>
          <w:szCs w:val="24"/>
        </w:rPr>
        <w:t xml:space="preserve">Cahier des charges — Stratégie de développement — Stratégie de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Champ</w:t>
            </w:r>
          </w:p>
        </w:tc>
        <w:tc>
          <w:tcPr>
            <w:tcW w:type="dxa" w:w="6350"/>
            <w:shd w:fill="1F3864" w:val="clear"/>
            <w:tcMar>
              <w:top w:type="dxa" w:w="80"/>
              <w:left w:type="dxa" w:w="100"/>
              <w:bottom w:type="dxa" w:w="80"/>
              <w:right w:type="dxa" w:w="100"/>
            </w:tcMar>
            <w:vAlign w:val="center"/>
          </w:tcPr>
          <w:p>
            <w:r>
              <w:rPr>
                <w:b/>
                <w:bCs/>
                <w:color w:val="FFFFFF"/>
                <w:sz w:val="20"/>
                <w:szCs w:val="20"/>
              </w:rPr>
              <w:t xml:space="preserve">Valeur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Projet</w:t>
            </w:r>
          </w:p>
        </w:tc>
        <w:tc>
          <w:tcPr>
            <w:tcW w:type="dxa" w:w="6350"/>
            <w:tcMar>
              <w:top w:type="dxa" w:w="80"/>
              <w:left w:type="dxa" w:w="100"/>
              <w:bottom w:type="dxa" w:w="80"/>
              <w:right w:type="dxa" w:w="100"/>
            </w:tcMar>
            <w:vAlign w:val="center"/>
          </w:tcPr>
          <w:p>
            <w:r>
              <w:rPr>
                <w:b w:val="false"/>
                <w:bCs w:val="false"/>
                <w:color w:val="000000"/>
                <w:sz w:val="20"/>
                <w:szCs w:val="20"/>
              </w:rPr>
              <w:t xml:space="preserve">backupgestion (repo GitHub)</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Cadre technique</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GLPI 11.0.x — PHP 8.1+</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Provider V1</w:t>
            </w:r>
          </w:p>
        </w:tc>
        <w:tc>
          <w:tcPr>
            <w:tcW w:type="dxa" w:w="6350"/>
            <w:tcMar>
              <w:top w:type="dxa" w:w="80"/>
              <w:left w:type="dxa" w:w="100"/>
              <w:bottom w:type="dxa" w:w="80"/>
              <w:right w:type="dxa" w:w="100"/>
            </w:tcMar>
            <w:vAlign w:val="center"/>
          </w:tcPr>
          <w:p>
            <w:r>
              <w:rPr>
                <w:b w:val="false"/>
                <w:bCs w:val="false"/>
                <w:color w:val="000000"/>
                <w:sz w:val="20"/>
                <w:szCs w:val="20"/>
              </w:rPr>
              <w:t xml:space="preserve">Acronis (Cyber Protect Cloud)</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Auteur</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Claude (Anthropic), pour Luc Berthaud — BL Conseils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Date</w:t>
            </w:r>
          </w:p>
        </w:tc>
        <w:tc>
          <w:tcPr>
            <w:tcW w:type="dxa" w:w="6350"/>
            <w:tcMar>
              <w:top w:type="dxa" w:w="80"/>
              <w:left w:type="dxa" w:w="100"/>
              <w:bottom w:type="dxa" w:w="80"/>
              <w:right w:type="dxa" w:w="100"/>
            </w:tcMar>
            <w:vAlign w:val="center"/>
          </w:tcPr>
          <w:p>
            <w:r>
              <w:rPr>
                <w:b w:val="false"/>
                <w:bCs w:val="false"/>
                <w:color w:val="000000"/>
                <w:sz w:val="20"/>
                <w:szCs w:val="20"/>
              </w:rPr>
              <w:t xml:space="preserve">12 août 2026</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Statut</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Brouillon pour validation</w:t>
            </w:r>
          </w:p>
        </w:tc>
      </w:tr>
    </w:tbl>
    <w:p>
      <w:r>
        <w:br w:type="page"/>
      </w:r>
    </w:p>
    <w:p>
      <w:pPr>
        <w:pStyle w:val="Heading1"/>
        <w:spacing w:after="200" w:before="400"/>
      </w:pPr>
      <w:r>
        <w:t xml:space="preserve">Sommaire</w:t>
      </w:r>
    </w:p>
    <w:p>
      <w:pPr>
        <w:pStyle w:val="ListParagraph"/>
        <w:numPr>
          <w:ilvl w:val="0"/>
          <w:numId w:val="1"/>
        </w:numPr>
        <w:spacing w:after="80"/>
      </w:pPr>
      <w:r>
        <w:t xml:space="preserve">Partie 1 — Cahier des charges</w:t>
      </w:r>
    </w:p>
    <w:p>
      <w:pPr>
        <w:pStyle w:val="ListParagraph"/>
        <w:numPr>
          <w:ilvl w:val="1"/>
          <w:numId w:val="1"/>
        </w:numPr>
        <w:spacing w:after="80"/>
      </w:pPr>
      <w:r>
        <w:t xml:space="preserve">1. Contexte et objectifs</w:t>
      </w:r>
    </w:p>
    <w:p>
      <w:pPr>
        <w:pStyle w:val="ListParagraph"/>
        <w:numPr>
          <w:ilvl w:val="1"/>
          <w:numId w:val="1"/>
        </w:numPr>
        <w:spacing w:after="80"/>
      </w:pPr>
      <w:r>
        <w:t xml:space="preserve">2. Périmètre fonctionnel (V1 lecture / V2 écriture)</w:t>
      </w:r>
    </w:p>
    <w:p>
      <w:pPr>
        <w:pStyle w:val="ListParagraph"/>
        <w:numPr>
          <w:ilvl w:val="1"/>
          <w:numId w:val="1"/>
        </w:numPr>
        <w:spacing w:after="80"/>
      </w:pPr>
      <w:r>
        <w:t xml:space="preserve">3. Contraintes (rattachement équipements, plugin Accounts)</w:t>
      </w:r>
    </w:p>
    <w:p>
      <w:pPr>
        <w:pStyle w:val="ListParagraph"/>
        <w:numPr>
          <w:ilvl w:val="1"/>
          <w:numId w:val="1"/>
        </w:numPr>
        <w:spacing w:after="80"/>
      </w:pPr>
      <w:r>
        <w:t xml:space="preserve">4. Architecture technique proposée</w:t>
      </w:r>
    </w:p>
    <w:p>
      <w:pPr>
        <w:pStyle w:val="ListParagraph"/>
        <w:numPr>
          <w:ilvl w:val="1"/>
          <w:numId w:val="1"/>
        </w:numPr>
        <w:spacing w:after="80"/>
      </w:pPr>
      <w:r>
        <w:t xml:space="preserve">5. Exigences non fonctionnelles</w:t>
      </w:r>
    </w:p>
    <w:p>
      <w:pPr>
        <w:pStyle w:val="ListParagraph"/>
        <w:numPr>
          <w:ilvl w:val="1"/>
          <w:numId w:val="1"/>
        </w:numPr>
        <w:spacing w:after="80"/>
      </w:pPr>
      <w:r>
        <w:t xml:space="preserve">6. Livrables Version 1</w:t>
      </w:r>
    </w:p>
    <w:p>
      <w:pPr>
        <w:pStyle w:val="ListParagraph"/>
        <w:numPr>
          <w:ilvl w:val="1"/>
          <w:numId w:val="1"/>
        </w:numPr>
        <w:spacing w:after="80"/>
      </w:pPr>
      <w:r>
        <w:t xml:space="preserve">7. Points ouverts à trancher</w:t>
      </w:r>
    </w:p>
    <w:p>
      <w:pPr>
        <w:pStyle w:val="ListParagraph"/>
        <w:numPr>
          <w:ilvl w:val="0"/>
          <w:numId w:val="1"/>
        </w:numPr>
        <w:spacing w:after="80"/>
      </w:pPr>
      <w:r>
        <w:t xml:space="preserve">Partie 2 — Stratégie de développement</w:t>
      </w:r>
    </w:p>
    <w:p>
      <w:pPr>
        <w:pStyle w:val="ListParagraph"/>
        <w:numPr>
          <w:ilvl w:val="1"/>
          <w:numId w:val="1"/>
        </w:numPr>
        <w:spacing w:after="80"/>
      </w:pPr>
      <w:r>
        <w:t xml:space="preserve">1. Méthodologie</w:t>
      </w:r>
    </w:p>
    <w:p>
      <w:pPr>
        <w:pStyle w:val="ListParagraph"/>
        <w:numPr>
          <w:ilvl w:val="1"/>
          <w:numId w:val="1"/>
        </w:numPr>
        <w:spacing w:after="80"/>
      </w:pPr>
      <w:r>
        <w:t xml:space="preserve">2. Accès et organisation du dépôt</w:t>
      </w:r>
    </w:p>
    <w:p>
      <w:pPr>
        <w:pStyle w:val="ListParagraph"/>
        <w:numPr>
          <w:ilvl w:val="1"/>
          <w:numId w:val="1"/>
        </w:numPr>
        <w:spacing w:after="80"/>
      </w:pPr>
      <w:r>
        <w:t xml:space="preserve">3. Jalons — Version 1</w:t>
      </w:r>
    </w:p>
    <w:p>
      <w:pPr>
        <w:pStyle w:val="ListParagraph"/>
        <w:numPr>
          <w:ilvl w:val="1"/>
          <w:numId w:val="1"/>
        </w:numPr>
        <w:spacing w:after="80"/>
      </w:pPr>
      <w:r>
        <w:t xml:space="preserve">4. Outils et intégration continue</w:t>
      </w:r>
    </w:p>
    <w:p>
      <w:pPr>
        <w:pStyle w:val="ListParagraph"/>
        <w:numPr>
          <w:ilvl w:val="0"/>
          <w:numId w:val="1"/>
        </w:numPr>
        <w:spacing w:after="80"/>
      </w:pPr>
      <w:r>
        <w:t xml:space="preserve">Partie 3 — Stratégie de test</w:t>
      </w:r>
    </w:p>
    <w:p>
      <w:pPr>
        <w:pStyle w:val="ListParagraph"/>
        <w:numPr>
          <w:ilvl w:val="1"/>
          <w:numId w:val="1"/>
        </w:numPr>
        <w:spacing w:after="80"/>
      </w:pPr>
      <w:r>
        <w:t xml:space="preserve">1. Niveaux de test</w:t>
      </w:r>
    </w:p>
    <w:p>
      <w:pPr>
        <w:pStyle w:val="ListParagraph"/>
        <w:numPr>
          <w:ilvl w:val="1"/>
          <w:numId w:val="1"/>
        </w:numPr>
        <w:spacing w:after="80"/>
      </w:pPr>
      <w:r>
        <w:t xml:space="preserve">2. Jeux de données et environnement de test</w:t>
      </w:r>
    </w:p>
    <w:p>
      <w:pPr>
        <w:pStyle w:val="ListParagraph"/>
        <w:numPr>
          <w:ilvl w:val="1"/>
          <w:numId w:val="1"/>
        </w:numPr>
        <w:spacing w:after="80"/>
      </w:pPr>
      <w:r>
        <w:t xml:space="preserve">3. Scénarios de recette clés</w:t>
      </w:r>
    </w:p>
    <w:p>
      <w:pPr>
        <w:pStyle w:val="ListParagraph"/>
        <w:numPr>
          <w:ilvl w:val="1"/>
          <w:numId w:val="1"/>
        </w:numPr>
        <w:spacing w:after="80"/>
      </w:pPr>
      <w:r>
        <w:t xml:space="preserve">4. Critères d'acceptation Version 1</w:t>
      </w:r>
    </w:p>
    <w:p>
      <w:pPr>
        <w:pStyle w:val="ListParagraph"/>
        <w:numPr>
          <w:ilvl w:val="1"/>
          <w:numId w:val="1"/>
        </w:numPr>
        <w:spacing w:after="80"/>
      </w:pPr>
      <w:r>
        <w:t xml:space="preserve">5. Anticipation de la non-régression en Version 2</w:t>
      </w:r>
    </w:p>
    <w:p>
      <w:pPr>
        <w:pStyle w:val="ListParagraph"/>
        <w:numPr>
          <w:ilvl w:val="0"/>
          <w:numId w:val="1"/>
        </w:numPr>
        <w:spacing w:after="80"/>
      </w:pPr>
      <w:r>
        <w:t xml:space="preserve">Annexe — Sources techniques consultées</w:t>
      </w:r>
    </w:p>
    <w:p>
      <w:r>
        <w:br w:type="page"/>
      </w:r>
    </w:p>
    <w:p>
      <w:pPr>
        <w:pStyle w:val="Heading1"/>
        <w:spacing w:after="200" w:before="400"/>
      </w:pPr>
      <w:r>
        <w:t xml:space="preserve">Partie 1 — Cahier des charges</w:t>
      </w:r>
    </w:p>
    <w:p>
      <w:pPr>
        <w:pStyle w:val="Heading2"/>
        <w:spacing w:after="150" w:before="300"/>
      </w:pPr>
      <w:r>
        <w:t xml:space="preserve">1. Contexte et objectifs</w:t>
      </w:r>
    </w:p>
    <w:p>
      <w:pPr>
        <w:spacing w:after="160"/>
      </w:pPr>
      <w:r>
        <w:t xml:space="preserve">GLPI est utilisé comme référentiel central des équipements et de l'infrastructure. Les sauvegardes (postes, serveurs, NAS) sont aujourd'hui pilotées depuis les consoles propres à chaque solution de backup (Acronis en premier lieu), sans visibilité consolidée dans GLPI : impossible de savoir en un coup d'œil, depuis la fiche d'un équipement, s'il est protégé, par quel plan, avec quel volume de données, ni sur quel espace de stockage.</w:t>
      </w:r>
    </w:p>
    <w:p>
      <w:pPr>
        <w:spacing w:after="160"/>
      </w:pPr>
      <w:r>
        <w:t xml:space="preserve">L'objectif du plugin BackupGestion est de combler ce manque, avec une approche multi-provider extensible (gestion de comptes provider au niveau du plugin, détection périodique des rattachements, rattachement aux objets GLPI natifs, journalisation).</w:t>
      </w:r>
    </w:p>
    <w:p>
      <w:pPr>
        <w:spacing w:after="160"/>
      </w:pPr>
      <w:r>
        <w:rPr>
          <w:b/>
          <w:bCs/>
        </w:rPr>
        <w:t xml:space="preserve">Objectif Version 1 — lecture seule : </w:t>
      </w:r>
      <w:r>
        <w:t xml:space="preserve">visualiser dans GLPI les données remontées depuis Acronis (espaces de stockage, appareils sauvegardés, plans de sauvegarde, volumes et statistiques), rattachées autant que possible aux équipements GLPI existants.</w:t>
      </w:r>
    </w:p>
    <w:p>
      <w:pPr>
        <w:spacing w:after="160"/>
      </w:pPr>
      <w:r>
        <w:rPr>
          <w:b/>
          <w:bCs/>
        </w:rPr>
        <w:t xml:space="preserve">Objectif Version 2 — écriture : </w:t>
      </w:r>
      <w:r>
        <w:t xml:space="preserve">permettre de créer/modifier ces mêmes objets depuis GLPI vers le provider (ex. déclencher une sauvegarde, modifier un plan). Cadrée dans ce document mais hors développement immédiat.</w:t>
      </w:r>
    </w:p>
    <w:p>
      <w:pPr>
        <w:pStyle w:val="Heading2"/>
        <w:spacing w:after="150" w:before="300"/>
      </w:pPr>
      <w:r>
        <w:t xml:space="preserve">2. Périmètre fonctionnel</w:t>
      </w:r>
    </w:p>
    <w:p>
      <w:pPr>
        <w:pStyle w:val="Heading3"/>
        <w:spacing w:after="100" w:before="200"/>
      </w:pPr>
      <w:r>
        <w:t xml:space="preserve">2.1 Version 1 — Visualisation (périmètre de développement immédiat)</w:t>
      </w:r>
    </w:p>
    <w:p>
      <w:pPr>
        <w:pStyle w:val="ListParagraph"/>
        <w:numPr>
          <w:ilvl w:val="0"/>
          <w:numId w:val="1"/>
        </w:numPr>
        <w:spacing w:after="80"/>
      </w:pPr>
      <w:r>
        <w:rPr>
          <w:b/>
          <w:bCs/>
        </w:rPr>
        <w:t xml:space="preserve">Comptes provider </w:t>
      </w:r>
      <w:r>
        <w:t xml:space="preserve">— gérés au niveau du plugin (CRUD, activation/désactivation, plusieurs comptes Acronis possibles = plusieurs tenants/organisations). Chaque compte est rattachable à une entité GLPI, avec gestion de la récursivité (entités/sous-entités).</w:t>
      </w:r>
    </w:p>
    <w:p>
      <w:pPr>
        <w:pStyle w:val="ListParagraph"/>
        <w:numPr>
          <w:ilvl w:val="0"/>
          <w:numId w:val="1"/>
        </w:numPr>
        <w:spacing w:after="80"/>
      </w:pPr>
      <w:r>
        <w:rPr>
          <w:b/>
          <w:bCs/>
        </w:rPr>
        <w:t xml:space="preserve">Espaces de stockage de sauvegarde </w:t>
      </w:r>
      <w:r>
        <w:t xml:space="preserve">— liste et détail des emplacements de stockage (Acronis natif, NAS, fichier, S3/Wasabi…). Les paramètres de connexion (type, identifiants) sont configurés et conservés côté GLPI ; les données d'usage (volume, taux d'occupation) sont interrogées en direct à l'API à chaque affichage, sans stockage local — voir 4.7 (nouvelle approche architecture, décidée avec Luc).</w:t>
      </w:r>
    </w:p>
    <w:p>
      <w:pPr>
        <w:pStyle w:val="ListParagraph"/>
        <w:numPr>
          <w:ilvl w:val="0"/>
          <w:numId w:val="1"/>
        </w:numPr>
        <w:spacing w:after="80"/>
      </w:pPr>
      <w:r>
        <w:rPr>
          <w:b/>
          <w:bCs/>
        </w:rPr>
        <w:t xml:space="preserve">Appareils sauvegardés </w:t>
      </w:r>
      <w:r>
        <w:t xml:space="preserve">— liste des ressources protégées côté Acronis, affichée en présentation type tableau de bord, interrogée en direct à chaque affichage (pas de mirroir local des données descriptives).</w:t>
      </w:r>
    </w:p>
    <w:p>
      <w:pPr>
        <w:pStyle w:val="ListParagraph"/>
        <w:numPr>
          <w:ilvl w:val="0"/>
          <w:numId w:val="1"/>
        </w:numPr>
        <w:spacing w:after="80"/>
      </w:pPr>
      <w:r>
        <w:rPr>
          <w:b/>
          <w:bCs/>
        </w:rPr>
        <w:t xml:space="preserve">Plans de sauvegarde </w:t>
      </w:r>
      <w:r>
        <w:t xml:space="preserve">— liste des plans (backup plans) définis côté Acronis, également interrogée en direct (nom, planification résumée, rétention, statut, appareils couverts).</w:t>
      </w:r>
    </w:p>
    <w:p>
      <w:pPr>
        <w:pStyle w:val="ListParagraph"/>
        <w:numPr>
          <w:ilvl w:val="0"/>
          <w:numId w:val="1"/>
        </w:numPr>
        <w:spacing w:after="80"/>
      </w:pPr>
      <w:r>
        <w:rPr>
          <w:b/>
          <w:bCs/>
        </w:rPr>
        <w:t xml:space="preserve">Statistiques </w:t>
      </w:r>
      <w:r>
        <w:t xml:space="preserve">— nombre de sauvegardes exécutées, volumes sauvegardés, taux de succès/échec, date de dernière sauvegarde : interrogées en direct, pas d'historique conservé localement au-delà de ce que l'API Acronis retourne elle-même.</w:t>
      </w:r>
    </w:p>
    <w:p>
      <w:pPr>
        <w:pStyle w:val="ListParagraph"/>
        <w:numPr>
          <w:ilvl w:val="0"/>
          <w:numId w:val="1"/>
        </w:numPr>
        <w:spacing w:after="80"/>
      </w:pPr>
      <w:r>
        <w:rPr>
          <w:b/>
          <w:bCs/>
        </w:rPr>
        <w:t xml:space="preserve">Journal de détection des rattachements </w:t>
      </w:r>
      <w:r>
        <w:t xml:space="preserve">— seul traitement de fond du plugin (voir 4.7) : historique des exécutions de la tâche périodique qui détecte les nouveaux appareils/espaces de stockage à rattacher à un équipement GLPI.</w:t>
      </w:r>
    </w:p>
    <w:p>
      <w:pPr>
        <w:pStyle w:val="ListParagraph"/>
        <w:numPr>
          <w:ilvl w:val="0"/>
          <w:numId w:val="1"/>
        </w:numPr>
        <w:spacing w:after="80"/>
      </w:pPr>
      <w:r>
        <w:rPr>
          <w:b/>
          <w:bCs/>
        </w:rPr>
        <w:t xml:space="preserve">Droits </w:t>
      </w:r>
      <w:r>
        <w:t xml:space="preserve">— cinq droits distincts (voir détail en 4.6), combinables librement par profil GLPI : Administration (tout), Provider (création de comptes provider), Financier (lecture seule de la configuration), Administration technique (gestion complète d'un tenant), Technicien (gestion des plans et des espaces de stockage).</w:t>
      </w:r>
    </w:p>
    <w:p>
      <w:pPr>
        <w:pStyle w:val="ListParagraph"/>
        <w:numPr>
          <w:ilvl w:val="0"/>
          <w:numId w:val="1"/>
        </w:numPr>
        <w:spacing w:after="80"/>
      </w:pPr>
      <w:r>
        <w:rPr>
          <w:b/>
          <w:bCs/>
        </w:rPr>
        <w:t xml:space="preserve">Hiérarchie multi-tenant (modèle revendeur) </w:t>
      </w:r>
      <w:r>
        <w:t xml:space="preserve">— à partir d'un compte provider racine (identifiants API du tenant revendeur), découverte et représentation dans GLPI de l'arborescence des tenants gérés (clients, eux-mêmes potentiellement revendeurs de tenants enfants). Voir section 4.2 ter.</w:t>
      </w:r>
    </w:p>
    <w:p>
      <w:pPr>
        <w:pStyle w:val="ListParagraph"/>
        <w:numPr>
          <w:ilvl w:val="0"/>
          <w:numId w:val="1"/>
        </w:numPr>
        <w:spacing w:after="80"/>
      </w:pPr>
      <w:r>
        <w:rPr>
          <w:b/>
          <w:bCs/>
        </w:rPr>
        <w:t xml:space="preserve">Multi-backend de stockage </w:t>
      </w:r>
      <w:r>
        <w:t xml:space="preserve">— architecture extensible permettant de couvrir, dès la V1, plusieurs types d'espaces de stockage (Acronis natif, NAS, serveur de fichiers classique, Wasabi, Amazon S3, autres compatibles S3…). Voir section 4.3 bis.</w:t>
      </w:r>
    </w:p>
    <w:p>
      <w:pPr>
        <w:spacing w:after="160"/>
      </w:pPr>
      <w:r>
        <w:rPr>
          <w:b/>
          <w:bCs/>
        </w:rPr>
        <w:t xml:space="preserve">Décision d'architecture (discutée avec Luc) : </w:t>
      </w:r>
      <w:r>
        <w:t xml:space="preserve">BackupGestion n'est volontairement PAS un plugin "miroir" qui synchronise et stocke localement l'ensemble des données Acronis. Pour tout ce qui est purement consultatif (plans, appareils, statistiques), les données sont interrogées en direct à l'API à chaque affichage et présentées façon tableau de bord — pas de moteur de recherche natif GLPI (Search::show) sur ces listes, pas d'historique local. Cela élimine mécaniquement le risque de duplication multi-provider (section 4.2 ter) pour ces données : rien n'étant stocké, rien à dédupliquer. Restent stockés localement, par nécessité : les comptes provider et leur hiérarchie (objets GLPI à part entière), les identifiants API chiffrés, les paramètres de connexion des espaces de stockage (type, identifiants Accounts), et la table légère de rattachement appareil/stockage ↔ équipement GLPI (Acronis n'a aucune notion d'un ID GLPI, ce lien doit forcément exister quelque part). Ce choix simplifie fortement l'architecture initialement envisagée (sections 4.2 à 4.7 mises à jour en conséquence).</w:t>
      </w:r>
    </w:p>
    <w:p>
      <w:pPr>
        <w:pStyle w:val="Heading3"/>
        <w:spacing w:after="100" w:before="200"/>
      </w:pPr>
      <w:r>
        <w:t xml:space="preserve">2.2 Version 2 — Écriture (hors périmètre de développement immédiat)</w:t>
      </w:r>
    </w:p>
    <w:p>
      <w:pPr>
        <w:spacing w:after="160"/>
      </w:pPr>
      <w:r>
        <w:t xml:space="preserve">À cadrer précisément une fois la V1 stabilisée et les droits d'écriture de l'API Acronis validés. Pistes identifiées : déclenchement manuel d'une sauvegarde depuis la fiche équipement GLPI, création/modification d'un plan de sauvegarde, ajout d'un appareil à un plan existant. Le pattern Provider (interface commune) sera conçu dès la V1 pour absorber ces méthodes sans rupture.</w:t>
      </w:r>
    </w:p>
    <w:p>
      <w:pPr>
        <w:pStyle w:val="Heading2"/>
        <w:spacing w:after="150" w:before="300"/>
      </w:pPr>
      <w:r>
        <w:t xml:space="preserve">3. Contraintes</w:t>
      </w:r>
    </w:p>
    <w:p>
      <w:pPr>
        <w:pStyle w:val="Heading3"/>
        <w:spacing w:after="100" w:before="200"/>
      </w:pPr>
      <w:r>
        <w:t xml:space="preserve">3.1 Rattachement des sauvegardes aux équipements GLPI</w:t>
      </w:r>
    </w:p>
    <w:p>
      <w:pPr>
        <w:spacing w:after="160"/>
      </w:pPr>
      <w:r>
        <w:t xml:space="preserve">Chaque appareil sauvegardé identifié côté Acronis doit être rattaché, quand c'est possible, à un équipement GLPI existant (Ordinateur, Serveur, Équipement réseau…).</w:t>
      </w:r>
    </w:p>
    <w:p>
      <w:pPr>
        <w:pStyle w:val="ListParagraph"/>
        <w:numPr>
          <w:ilvl w:val="0"/>
          <w:numId w:val="1"/>
        </w:numPr>
        <w:spacing w:after="80"/>
      </w:pPr>
      <w:r>
        <w:t xml:space="preserve">Rattachement automatique par correspondance sur des attributs techniques (nom d'hôte, adresse IP, adresse MAC, numéro de série).</w:t>
      </w:r>
    </w:p>
    <w:p>
      <w:pPr>
        <w:pStyle w:val="ListParagraph"/>
        <w:numPr>
          <w:ilvl w:val="0"/>
          <w:numId w:val="1"/>
        </w:numPr>
        <w:spacing w:after="80"/>
      </w:pPr>
      <w:r>
        <w:t xml:space="preserve">Écran de mapping manuel dédié pour les appareils sans correspondance automatique fiable (validation ou ignorance au cas par cas).</w:t>
      </w:r>
    </w:p>
    <w:p>
      <w:pPr>
        <w:pStyle w:val="ListParagraph"/>
        <w:numPr>
          <w:ilvl w:val="0"/>
          <w:numId w:val="1"/>
        </w:numPr>
        <w:spacing w:after="80"/>
      </w:pPr>
      <w:r>
        <w:t xml:space="preserve">Un appareil peut rester "non rattaché" si aucun équipement GLPI correspondant n'existe — il reste visible dans le plugin sans casser la synchro.</w:t>
      </w:r>
    </w:p>
    <w:p>
      <w:pPr>
        <w:pStyle w:val="Heading3"/>
        <w:spacing w:after="100" w:before="200"/>
      </w:pPr>
      <w:r>
        <w:t xml:space="preserve">3.2 Rattachement des espaces de stockage aux équipements d'infrastructure</w:t>
      </w:r>
    </w:p>
    <w:p>
      <w:pPr>
        <w:spacing w:after="160"/>
      </w:pPr>
      <w:r>
        <w:t xml:space="preserve">Les espaces de stockage de sauvegarde doivent être rattachés, si possible, à un équipement GLPI de type infrastructure (NAS, serveur Acronis, baie de stockage, etc.).</w:t>
      </w:r>
    </w:p>
    <w:p>
      <w:pPr>
        <w:pStyle w:val="ListParagraph"/>
        <w:numPr>
          <w:ilvl w:val="0"/>
          <w:numId w:val="1"/>
        </w:numPr>
        <w:spacing w:after="80"/>
      </w:pPr>
      <w:r>
        <w:t xml:space="preserve">Sélection manuelle de l'équipement GLPI cible sur la fiche de l'espace de stockage, avec suggestion automatique si un nom correspondant est trouvé.</w:t>
      </w:r>
    </w:p>
    <w:p>
      <w:pPr>
        <w:pStyle w:val="ListParagraph"/>
        <w:numPr>
          <w:ilvl w:val="0"/>
          <w:numId w:val="1"/>
        </w:numPr>
        <w:spacing w:after="80"/>
      </w:pPr>
      <w:r>
        <w:t xml:space="preserve">Si l'équipement n'existe pas encore dans GLPI, l'espace de stockage reste rattaché uniquement au compte provider, en attendant création/rattachement ultérieur.</w:t>
      </w:r>
    </w:p>
    <w:p>
      <w:pPr>
        <w:pStyle w:val="Heading3"/>
        <w:spacing w:after="100" w:before="200"/>
      </w:pPr>
      <w:r>
        <w:t xml:space="preserve">3.3 Sécurité des identifiants — fragmentation en plusieurs espaces protégés distincts</w:t>
      </w:r>
    </w:p>
    <w:p>
      <w:pPr>
        <w:spacing w:after="160"/>
      </w:pPr>
      <w:r>
        <w:t xml:space="preserve">Contrainte explicite du projet : </w:t>
      </w:r>
      <w:r>
        <w:rPr>
          <w:b/>
          <w:bCs/>
        </w:rPr>
        <w:t xml:space="preserve">fragmenter la protection des secrets entre plusieurs espaces de stockage indépendants, pour qu'un incident sur un seul espace (vol de la base BackupGestion, arrêt ou désinstallation du plugin) ne compromette jamais l'ensemble des secrets.</w:t>
      </w:r>
    </w:p>
    <w:p>
      <w:pPr>
        <w:spacing w:after="160"/>
      </w:pPr>
      <w:r>
        <w:t xml:space="preserve">Le modèle retenu distingue deux espaces de stockage, le second étant lui-même subdivisé en plusieurs catégories de comptes :</w:t>
      </w:r>
    </w:p>
    <w:p>
      <w:pPr>
        <w:spacing w:after="160"/>
      </w:pPr>
      <w:r>
        <w:rPr>
          <w:b/>
          <w:bCs/>
        </w:rPr>
        <w:t xml:space="preserve">a) Identifiants d'accès à l'API Acronis </w:t>
      </w:r>
      <w:r>
        <w:t xml:space="preserve">(client_id, client_secret, URL de datacenter) — stockage LOCAL, dans une table dédiée du plugin BackupGestion (glpi_plugin_backupgestion_credentials), chiffrés en AES-256. C'est une exigence explicite du projet : ces identifiants techniques, consommés à chaque appel API, restent dans la base locale du plugin. Précision importante (clarifiée avec Luc) : la clé qui protège ce chiffrement n'est stockée nulle part, ni localement ni dans Accounts — elle est recalculée à la volée à partir de données non secrètes (entité GLPI, utilisateur référent, sel aléatoire), selon le mécanisme détaillé en 4.4 quater. Cette catégorie (a) est donc entièrement autonome, sans aucune dépendance au plugin Accounts.</w:t>
      </w:r>
    </w:p>
    <w:p>
      <w:pPr>
        <w:spacing w:after="160"/>
      </w:pPr>
      <w:r>
        <w:rPr>
          <w:b/>
          <w:bCs/>
        </w:rPr>
        <w:t xml:space="preserve">b) Tout le reste </w:t>
      </w:r>
      <w:r>
        <w:t xml:space="preserve">— stocké dans le plugin Accounts, sous plusieurs catégories de comptes distinctes (à formaliser précisément en jalon 0, avec les groupes d'accès GLPI associés à chacune) :</w:t>
      </w:r>
    </w:p>
    <w:p>
      <w:pPr>
        <w:pStyle w:val="ListParagraph"/>
        <w:numPr>
          <w:ilvl w:val="0"/>
          <w:numId w:val="1"/>
        </w:numPr>
        <w:spacing w:after="80"/>
      </w:pPr>
      <w:r>
        <w:rPr>
          <w:b/>
          <w:bCs/>
        </w:rPr>
        <w:t xml:space="preserve">Login/mot de passe d'administration du compte client Acronis </w:t>
      </w:r>
      <w:r>
        <w:t xml:space="preserve">(compte admin du tenant, distinct du compte de service utilisé pour l'API), rattaché au compte provider BackupGestion correspondant.</w:t>
      </w:r>
    </w:p>
    <w:p>
      <w:pPr>
        <w:pStyle w:val="ListParagraph"/>
        <w:numPr>
          <w:ilvl w:val="0"/>
          <w:numId w:val="1"/>
        </w:numPr>
        <w:spacing w:after="80"/>
      </w:pPr>
      <w:r>
        <w:rPr>
          <w:b/>
          <w:bCs/>
        </w:rPr>
        <w:t xml:space="preserve">Login/mot de passe des ressources de stockage </w:t>
      </w:r>
      <w:r>
        <w:t xml:space="preserve">utilisées pour les sauvegardes : répertoire sur un NAS, serveur Acronis local, ou stockage compatible S3 chez un tiers (ex : Wasabi) — rattachés à l'équipement GLPI ou à l'espace de stockage BackupGestion concerné (section 3.2).</w:t>
      </w:r>
    </w:p>
    <w:p>
      <w:pPr>
        <w:pStyle w:val="ListParagraph"/>
        <w:numPr>
          <w:ilvl w:val="0"/>
          <w:numId w:val="1"/>
        </w:numPr>
        <w:spacing w:after="80"/>
      </w:pPr>
      <w:r>
        <w:rPr>
          <w:b/>
          <w:bCs/>
        </w:rPr>
        <w:t xml:space="preserve">Comptes techniques par appareil sauvegardé </w:t>
      </w:r>
      <w:r>
        <w:t xml:space="preserve">si nécessaire (ex : compte admin local sur un poste/serveur protégé), rattachés à l'équipement GLPI concerné.</w:t>
      </w:r>
    </w:p>
    <w:p>
      <w:pPr>
        <w:spacing w:after="160"/>
      </w:pPr>
      <w:r>
        <w:rPr>
          <w:i/>
          <w:iCs/>
          <w:color w:val="595959"/>
        </w:rPr>
        <w:t xml:space="preserve">Les catégories exactes (nommage, granularité) et les groupes d'accès GLPI associés à chacune (qui peut consulter quoi dans Accounts) restent à définir précisément avec toi en jalon 0 — voir section 7.</w:t>
      </w:r>
    </w:p>
    <w:p>
      <w:pPr>
        <w:spacing w:after="160"/>
      </w:pPr>
      <w:r>
        <w:t xml:space="preserve">Effet recherché par cette fragmentation :</w:t>
      </w:r>
    </w:p>
    <w:p>
      <w:pPr>
        <w:pStyle w:val="ListParagraph"/>
        <w:numPr>
          <w:ilvl w:val="0"/>
          <w:numId w:val="1"/>
        </w:numPr>
        <w:spacing w:after="80"/>
      </w:pPr>
      <w:r>
        <w:t xml:space="preserve">Si le plugin BackupGestion est simplement désactivé, rien ne change : les identifiants API (a) restent en base, chiffrés, inertes.</w:t>
      </w:r>
    </w:p>
    <w:p>
      <w:pPr>
        <w:pStyle w:val="ListParagraph"/>
        <w:numPr>
          <w:ilvl w:val="0"/>
          <w:numId w:val="1"/>
        </w:numPr>
        <w:spacing w:after="80"/>
      </w:pPr>
      <w:r>
        <w:t xml:space="preserve">Si le plugin BackupGestion est désinstallé, seule la catégorie (a) est perdue (le hook de désinstallation supprime les tables du plugin). Tout ce qui est stocké dans Accounts (b) survit intact, totalement indépendant du cycle de vie de BackupGestion — le hook de désinstallation de BackupGestion ne doit jamais supprimer de comptes Accounts.</w:t>
      </w:r>
    </w:p>
    <w:p>
      <w:pPr>
        <w:pStyle w:val="ListParagraph"/>
        <w:numPr>
          <w:ilvl w:val="0"/>
          <w:numId w:val="1"/>
        </w:numPr>
        <w:spacing w:after="80"/>
      </w:pPr>
      <w:r>
        <w:t xml:space="preserve">Un attaquant qui compromettrait uniquement la base de BackupGestion récupérerait des identifiants API chiffrés et un sel non secret, mais pas la clé elle-même — celle-ci n'existe nulle part en stockage, elle doit être recalculée avec le même algorithme et un accès équivalent à l'application (4.4 quater) : véritable défense en profondeur, plutôt qu'un chiffrement et sa clé cohabitant dans le même espace.</w:t>
      </w:r>
    </w:p>
    <w:p>
      <w:pPr>
        <w:pStyle w:val="ListParagraph"/>
        <w:numPr>
          <w:ilvl w:val="0"/>
          <w:numId w:val="1"/>
        </w:numPr>
        <w:spacing w:after="80"/>
      </w:pPr>
      <w:r>
        <w:t xml:space="preserve">Si le plugin Accounts est absent ou désactivé, seule la catégorie (b) devient inaccessible (admin compte client, ressources de stockage, comptes techniques appareils). La catégorie (a) n'est pas concernée : la connexion API et les dashboards live (cœur fonctionnel de la V1) continuent de fonctionner normalement, la dérivation de clé étant totalement indépendante d'Accounts.</w:t>
      </w:r>
    </w:p>
    <w:p>
      <w:pPr>
        <w:spacing w:after="160"/>
      </w:pPr>
      <w:r>
        <w:rPr>
          <w:b/>
          <w:bCs/>
        </w:rPr>
        <w:t xml:space="preserve">Nuance sur la mise en cache : </w:t>
      </w:r>
      <w:r>
        <w:t xml:space="preserve">"jamais mise en cache persistante en clair" signifie jamais en base ni sur disque. Ceci concerne exclusivement la catégorie (b) : la clé de déchiffrement Accounts peut être conservée en cache de session PHP, avec un timeout configurable, le temps d'une série d'opérations de même nature (ex : création de plusieurs espaces de stockage à la suite) — voir section 4.4 ter pour le détail de ce mécanisme. La catégorie (a), elle, ne connaît pas ce besoin de cache : sa clé se recalcule en une opération locale, sans coût ni requête externe.</w:t>
      </w:r>
    </w:p>
    <w:p>
      <w:pPr>
        <w:pStyle w:val="Heading2"/>
        <w:spacing w:after="150" w:before="300"/>
      </w:pPr>
      <w:r>
        <w:t xml:space="preserve">4. Architecture technique proposée</w:t>
      </w:r>
    </w:p>
    <w:p>
      <w:pPr>
        <w:spacing w:after="160"/>
      </w:pPr>
      <w:r>
        <w:t xml:space="preserve">Architecture technique standard GLPI 11 (namespaces PHP, Twig, hooks).</w:t>
      </w:r>
    </w:p>
    <w:p>
      <w:pPr>
        <w:spacing w:after="160"/>
      </w:pPr>
      <w:r>
        <w:rPr>
          <w:b/>
          <w:bCs/>
        </w:rPr>
        <w:t xml:space="preserve">Référence de conception (mention unique dans ce document) : </w:t>
      </w:r>
      <w:r>
        <w:t xml:space="preserve">la gestion des comptes provider (CRUD, entités/récursivité, hooks d'installation) ainsi que le principe de stockage local chiffré des identifiants API (catégorie a) reprennent une base déjà utilisée dans le plugin DNSManager, développé précédemment par Luc Berthaud — avec une évolution pour BackupGestion : une clé de chiffrement dérivée par fiche (entité + utilisateur référent + sel, voir 4.4 quater) plutôt qu'une clé globale unique à l'instance. Cette réutilisation vise la cohérence et la rapidité de développement ; les deux plugins restent néanmoins totalement indépendants l'un de l'autre — DNSManager n'est pas une dépendance de BackupGestion, et ses évolutions futures ne profitent pas automatiquement à ce plugin.</w:t>
      </w:r>
    </w:p>
    <w:p>
      <w:pPr>
        <w:pStyle w:val="Heading3"/>
        <w:spacing w:after="100" w:before="200"/>
      </w:pPr>
      <w:r>
        <w:t xml:space="preserve">4.1 Squelette du plugin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Élément</w:t>
            </w:r>
          </w:p>
        </w:tc>
        <w:tc>
          <w:tcPr>
            <w:tcW w:type="dxa" w:w="6350"/>
            <w:shd w:fill="1F3864" w:val="clear"/>
            <w:tcMar>
              <w:top w:type="dxa" w:w="80"/>
              <w:left w:type="dxa" w:w="100"/>
              <w:bottom w:type="dxa" w:w="80"/>
              <w:right w:type="dxa" w:w="100"/>
            </w:tcMar>
            <w:vAlign w:val="center"/>
          </w:tcPr>
          <w:p>
            <w:r>
              <w:rPr>
                <w:b/>
                <w:bCs/>
                <w:color w:val="FFFFFF"/>
                <w:sz w:val="20"/>
                <w:szCs w:val="20"/>
              </w:rPr>
              <w:t xml:space="preserve">Valeur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Nom technique</w:t>
            </w:r>
          </w:p>
        </w:tc>
        <w:tc>
          <w:tcPr>
            <w:tcW w:type="dxa" w:w="6350"/>
            <w:tcMar>
              <w:top w:type="dxa" w:w="80"/>
              <w:left w:type="dxa" w:w="100"/>
              <w:bottom w:type="dxa" w:w="80"/>
              <w:right w:type="dxa" w:w="100"/>
            </w:tcMar>
            <w:vAlign w:val="center"/>
          </w:tcPr>
          <w:p>
            <w:r>
              <w:rPr>
                <w:b w:val="false"/>
                <w:bCs w:val="false"/>
                <w:color w:val="000000"/>
                <w:sz w:val="20"/>
                <w:szCs w:val="20"/>
              </w:rPr>
              <w:t xml:space="preserve">backupgestion</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Namespace PHP</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GlpiPlugin\Backupgestion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GLPI cible</w:t>
            </w:r>
          </w:p>
        </w:tc>
        <w:tc>
          <w:tcPr>
            <w:tcW w:type="dxa" w:w="6350"/>
            <w:tcMar>
              <w:top w:type="dxa" w:w="80"/>
              <w:left w:type="dxa" w:w="100"/>
              <w:bottom w:type="dxa" w:w="80"/>
              <w:right w:type="dxa" w:w="100"/>
            </w:tcMar>
            <w:vAlign w:val="center"/>
          </w:tcPr>
          <w:p>
            <w:r>
              <w:rPr>
                <w:b w:val="false"/>
                <w:bCs w:val="false"/>
                <w:color w:val="000000"/>
                <w:sz w:val="20"/>
                <w:szCs w:val="20"/>
              </w:rPr>
              <w:t xml:space="preserve">min 11.0.0 — max 12.0.0</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PHP</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8.1+ (extensions curl, json, openssl)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Dépendance</w:t>
            </w:r>
          </w:p>
        </w:tc>
        <w:tc>
          <w:tcPr>
            <w:tcW w:type="dxa" w:w="6350"/>
            <w:tcMar>
              <w:top w:type="dxa" w:w="80"/>
              <w:left w:type="dxa" w:w="100"/>
              <w:bottom w:type="dxa" w:w="80"/>
              <w:right w:type="dxa" w:w="100"/>
            </w:tcMar>
            <w:vAlign w:val="center"/>
          </w:tcPr>
          <w:p>
            <w:r>
              <w:rPr>
                <w:b w:val="false"/>
                <w:bCs w:val="false"/>
                <w:color w:val="000000"/>
                <w:sz w:val="20"/>
                <w:szCs w:val="20"/>
              </w:rPr>
              <w:t xml:space="preserve">Plugin Accounts (InfotelGLPI/accounts) — requis uniquement pour la catégorie (b) (admin compte client, ressources de stockage, comptes techniques appareils). Le cœur fonctionnel de la V1 (connexion API, dashboards live) ne dépend plus d'Accounts depuis la clarification du mécanisme de clé (3.3, 4.4 quater).</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Dépendance optionnelle</w:t>
            </w:r>
          </w:p>
        </w:tc>
        <w:tc>
          <w:tcPr>
            <w:tcW w:type="dxa" w:w="6350"/>
            <w:shd w:fill="F2F2F2" w:val="clear"/>
            <w:tcMar>
              <w:top w:type="dxa" w:w="80"/>
              <w:left w:type="dxa" w:w="100"/>
              <w:bottom w:type="dxa" w:w="80"/>
              <w:right w:type="dxa" w:w="100"/>
            </w:tcMar>
            <w:vAlign w:val="center"/>
          </w:tcPr>
          <w:p>
            <w:r>
              <w:rPr>
                <w:b w:val="false"/>
                <w:bCs w:val="false"/>
                <w:color w:val="000000"/>
                <w:sz w:val="20"/>
                <w:szCs w:val="20"/>
              </w:rPr>
              <w:t xml:space="preserve">Plugin Fields (pour exposer Provider en champ additionnel)</w:t>
            </w:r>
          </w:p>
        </w:tc>
      </w:tr>
    </w:tbl>
    <w:p>
      <w:pPr>
        <w:spacing w:after="40"/>
      </w:pPr>
      <w:r>
        <w:rPr>
          <w:rFonts w:ascii="Consolas" w:cs="Consolas" w:eastAsia="Consolas" w:hAnsi="Consolas"/>
          <w:sz w:val="18"/>
          <w:szCs w:val="18"/>
        </w:rPr>
        <w:t xml:space="preserve">backupgestion/</w:t>
      </w:r>
    </w:p>
    <w:p>
      <w:pPr>
        <w:spacing w:after="40"/>
      </w:pPr>
      <w:r>
        <w:rPr>
          <w:rFonts w:ascii="Consolas" w:cs="Consolas" w:eastAsia="Consolas" w:hAnsi="Consolas"/>
          <w:sz w:val="18"/>
          <w:szCs w:val="18"/>
        </w:rPr>
        <w:t xml:space="preserve">├── setup.php            (hooks, menu, droits, cron)</w:t>
      </w:r>
    </w:p>
    <w:p>
      <w:pPr>
        <w:spacing w:after="40"/>
      </w:pPr>
      <w:r>
        <w:rPr>
          <w:rFonts w:ascii="Consolas" w:cs="Consolas" w:eastAsia="Consolas" w:hAnsi="Consolas"/>
          <w:sz w:val="18"/>
          <w:szCs w:val="18"/>
        </w:rPr>
        <w:t xml:space="preserve">├── hook.php             (install / uninstall / activate / migrate)</w:t>
      </w:r>
    </w:p>
    <w:p>
      <w:pPr>
        <w:spacing w:after="40"/>
      </w:pPr>
      <w:r>
        <w:rPr>
          <w:rFonts w:ascii="Consolas" w:cs="Consolas" w:eastAsia="Consolas" w:hAnsi="Consolas"/>
          <w:sz w:val="18"/>
          <w:szCs w:val="18"/>
        </w:rPr>
        <w:t xml:space="preserve">├── src/</w:t>
      </w:r>
    </w:p>
    <w:p>
      <w:pPr>
        <w:spacing w:after="40"/>
      </w:pPr>
      <w:r>
        <w:rPr>
          <w:rFonts w:ascii="Consolas" w:cs="Consolas" w:eastAsia="Consolas" w:hAnsi="Consolas"/>
          <w:sz w:val="18"/>
          <w:szCs w:val="18"/>
        </w:rPr>
        <w:t xml:space="preserve">│   ├── Provider.php          (compte provider — CommonDBTM)</w:t>
      </w:r>
    </w:p>
    <w:p>
      <w:pPr>
        <w:spacing w:after="40"/>
      </w:pPr>
      <w:r>
        <w:rPr>
          <w:rFonts w:ascii="Consolas" w:cs="Consolas" w:eastAsia="Consolas" w:hAnsi="Consolas"/>
          <w:sz w:val="18"/>
          <w:szCs w:val="18"/>
        </w:rPr>
        <w:t xml:space="preserve">│   ├── ProviderInterface.php (contrat multi-provider)</w:t>
      </w:r>
    </w:p>
    <w:p>
      <w:pPr>
        <w:spacing w:after="40"/>
      </w:pPr>
      <w:r>
        <w:rPr>
          <w:rFonts w:ascii="Consolas" w:cs="Consolas" w:eastAsia="Consolas" w:hAnsi="Consolas"/>
          <w:sz w:val="18"/>
          <w:szCs w:val="18"/>
        </w:rPr>
        <w:t xml:space="preserve">│   ├── ProviderFactory.php</w:t>
      </w:r>
    </w:p>
    <w:p>
      <w:pPr>
        <w:spacing w:after="40"/>
      </w:pPr>
      <w:r>
        <w:rPr>
          <w:rFonts w:ascii="Consolas" w:cs="Consolas" w:eastAsia="Consolas" w:hAnsi="Consolas"/>
          <w:sz w:val="18"/>
          <w:szCs w:val="18"/>
        </w:rPr>
        <w:t xml:space="preserve">│   ├── AcronisProvider.php   (implémentation V1, découverte hiérarchie tenants)</w:t>
      </w:r>
    </w:p>
    <w:p>
      <w:pPr>
        <w:spacing w:after="40"/>
      </w:pPr>
      <w:r>
        <w:rPr>
          <w:rFonts w:ascii="Consolas" w:cs="Consolas" w:eastAsia="Consolas" w:hAnsi="Consolas"/>
          <w:sz w:val="18"/>
          <w:szCs w:val="18"/>
        </w:rPr>
        <w:t xml:space="preserve">│   ├── Credential.php        (stockage local chiffré — catégorie a)</w:t>
      </w:r>
    </w:p>
    <w:p>
      <w:pPr>
        <w:spacing w:after="40"/>
      </w:pPr>
      <w:r>
        <w:rPr>
          <w:rFonts w:ascii="Consolas" w:cs="Consolas" w:eastAsia="Consolas" w:hAnsi="Consolas"/>
          <w:sz w:val="18"/>
          <w:szCs w:val="18"/>
        </w:rPr>
        <w:t xml:space="preserve">│   ├── KeyDerivation.php     (dérivation locale de la clé — catégorie a, sans Accounts)</w:t>
      </w:r>
    </w:p>
    <w:p>
      <w:pPr>
        <w:spacing w:after="40"/>
      </w:pPr>
      <w:r>
        <w:rPr>
          <w:rFonts w:ascii="Consolas" w:cs="Consolas" w:eastAsia="Consolas" w:hAnsi="Consolas"/>
          <w:sz w:val="18"/>
          <w:szCs w:val="18"/>
        </w:rPr>
        <w:t xml:space="preserve">│   ├── AccountsVault.php     (accès Accounts, cache de session — catégorie b uniquement)</w:t>
      </w:r>
    </w:p>
    <w:p>
      <w:pPr>
        <w:spacing w:after="40"/>
      </w:pPr>
      <w:r>
        <w:rPr>
          <w:rFonts w:ascii="Consolas" w:cs="Consolas" w:eastAsia="Consolas" w:hAnsi="Consolas"/>
          <w:sz w:val="18"/>
          <w:szCs w:val="18"/>
        </w:rPr>
        <w:t xml:space="preserve">│   ├── StorageBackendInterface.php  (contrat multi-backend stockage)</w:t>
      </w:r>
    </w:p>
    <w:p>
      <w:pPr>
        <w:spacing w:after="40"/>
      </w:pPr>
      <w:r>
        <w:rPr>
          <w:rFonts w:ascii="Consolas" w:cs="Consolas" w:eastAsia="Consolas" w:hAnsi="Consolas"/>
          <w:sz w:val="18"/>
          <w:szCs w:val="18"/>
        </w:rPr>
        <w:t xml:space="preserve">│   ├── AcronisStorageBackend.php · NasBackend.php · FileServerBackend.php · S3CompatibleBackend.php</w:t>
      </w:r>
    </w:p>
    <w:p>
      <w:pPr>
        <w:spacing w:after="40"/>
      </w:pPr>
      <w:r>
        <w:rPr>
          <w:rFonts w:ascii="Consolas" w:cs="Consolas" w:eastAsia="Consolas" w:hAnsi="Consolas"/>
          <w:sz w:val="18"/>
          <w:szCs w:val="18"/>
        </w:rPr>
        <w:t xml:space="preserve">│   ├── StorageSpace.php      (objet GLPI persisté : connexion + Accounts)</w:t>
      </w:r>
    </w:p>
    <w:p>
      <w:pPr>
        <w:spacing w:after="40"/>
      </w:pPr>
      <w:r>
        <w:rPr>
          <w:rFonts w:ascii="Consolas" w:cs="Consolas" w:eastAsia="Consolas" w:hAnsi="Consolas"/>
          <w:sz w:val="18"/>
          <w:szCs w:val="18"/>
        </w:rPr>
        <w:t xml:space="preserve">│   ├── DeviceLink.php        (rattachement léger, pas de mirroir)</w:t>
      </w:r>
    </w:p>
    <w:p>
      <w:pPr>
        <w:spacing w:after="40"/>
      </w:pPr>
      <w:r>
        <w:rPr>
          <w:rFonts w:ascii="Consolas" w:cs="Consolas" w:eastAsia="Consolas" w:hAnsi="Consolas"/>
          <w:sz w:val="18"/>
          <w:szCs w:val="18"/>
        </w:rPr>
        <w:t xml:space="preserve">│   ├── DiscoveryLog.php      (journal de la tâche de détection)</w:t>
      </w:r>
    </w:p>
    <w:p>
      <w:pPr>
        <w:spacing w:after="40"/>
      </w:pPr>
      <w:r>
        <w:rPr>
          <w:rFonts w:ascii="Consolas" w:cs="Consolas" w:eastAsia="Consolas" w:hAnsi="Consolas"/>
          <w:sz w:val="18"/>
          <w:szCs w:val="18"/>
        </w:rPr>
        <w:t xml:space="preserve">│   ├── Right.php</w:t>
      </w:r>
    </w:p>
    <w:p>
      <w:pPr>
        <w:spacing w:after="40"/>
      </w:pPr>
      <w:r>
        <w:rPr>
          <w:rFonts w:ascii="Consolas" w:cs="Consolas" w:eastAsia="Consolas" w:hAnsi="Consolas"/>
          <w:sz w:val="18"/>
          <w:szCs w:val="18"/>
        </w:rPr>
        <w:t xml:space="preserve">│   ├── DiscoveryTask.php     (tâche périodique de détection, ex-Importer)</w:t>
      </w:r>
    </w:p>
    <w:p>
      <w:pPr>
        <w:spacing w:after="40"/>
      </w:pPr>
      <w:r>
        <w:rPr>
          <w:rFonts w:ascii="Consolas" w:cs="Consolas" w:eastAsia="Consolas" w:hAnsi="Consolas"/>
          <w:sz w:val="18"/>
          <w:szCs w:val="18"/>
        </w:rPr>
        <w:t xml:space="preserve">│   └── Matcher.php           (rattachement aux équipements GLPI)</w:t>
      </w:r>
    </w:p>
    <w:p>
      <w:pPr>
        <w:spacing w:after="40"/>
      </w:pPr>
      <w:r>
        <w:rPr>
          <w:rFonts w:ascii="Consolas" w:cs="Consolas" w:eastAsia="Consolas" w:hAnsi="Consolas"/>
          <w:sz w:val="18"/>
          <w:szCs w:val="18"/>
        </w:rPr>
        <w:t xml:space="preserve">├── front/ · ajax/ · public/ · templates/ · locales/</w:t>
      </w:r>
    </w:p>
    <w:p>
      <w:pPr>
        <w:spacing w:after="40"/>
      </w:pPr>
      <w:r>
        <w:rPr>
          <w:rFonts w:ascii="Consolas" w:cs="Consolas" w:eastAsia="Consolas" w:hAnsi="Consolas"/>
          <w:sz w:val="18"/>
          <w:szCs w:val="18"/>
        </w:rPr>
        <w:t xml:space="preserve">├── tests/{unit,integration}/</w:t>
      </w:r>
    </w:p>
    <w:p>
      <w:pPr>
        <w:spacing w:after="40"/>
      </w:pPr>
      <w:r>
        <w:rPr>
          <w:rFonts w:ascii="Consolas" w:cs="Consolas" w:eastAsia="Consolas" w:hAnsi="Consolas"/>
          <w:sz w:val="18"/>
          <w:szCs w:val="18"/>
        </w:rPr>
        <w:t xml:space="preserve">└── docs/</w:t>
      </w:r>
    </w:p>
    <w:p>
      <w:pPr>
        <w:spacing w:after="160"/>
      </w:pPr>
      <w:r>
        <w:t xml:space="preserve"/>
      </w:r>
    </w:p>
    <w:p>
      <w:pPr>
        <w:pStyle w:val="Heading3"/>
        <w:spacing w:after="100" w:before="200"/>
      </w:pPr>
      <w:r>
        <w:t xml:space="preserve">4.2 Modèle de données (classes CommonDBTM)</w:t>
      </w:r>
    </w:p>
    <w:p>
      <w:pPr>
        <w:spacing w:after="160"/>
      </w:pPr>
      <w:r>
        <w:rPr>
          <w:i/>
          <w:iCs/>
          <w:color w:val="595959"/>
        </w:rPr>
        <w:t xml:space="preserve">Modèle allégé suite à la décision d'architecture ci-dessus (2.1) : plus de tables "miroir" pour les plans/statistiques (pure live query), et une table de rattachement légère pour les appareils (au lieu d'un mirroir complet).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5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Table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Rôle</w:t>
            </w:r>
          </w:p>
        </w:tc>
        <w:tc>
          <w:tcPr>
            <w:tcW w:type="dxa" w:w="2550"/>
            <w:shd w:fill="1F3864" w:val="clear"/>
            <w:tcMar>
              <w:top w:type="dxa" w:w="80"/>
              <w:left w:type="dxa" w:w="100"/>
              <w:bottom w:type="dxa" w:w="80"/>
              <w:right w:type="dxa" w:w="100"/>
            </w:tcMar>
            <w:vAlign w:val="center"/>
          </w:tcPr>
          <w:p>
            <w:r>
              <w:rPr>
                <w:b/>
                <w:bCs/>
                <w:color w:val="FFFFFF"/>
                <w:sz w:val="20"/>
                <w:szCs w:val="20"/>
              </w:rPr>
              <w:t xml:space="preserve">Rattachement clé</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glpi_plugin_backupgestion_providers</w:t>
            </w:r>
          </w:p>
        </w:tc>
        <w:tc>
          <w:tcPr>
            <w:tcW w:type="dxa" w:w="3200"/>
            <w:tcMar>
              <w:top w:type="dxa" w:w="80"/>
              <w:left w:type="dxa" w:w="100"/>
              <w:bottom w:type="dxa" w:w="80"/>
              <w:right w:type="dxa" w:w="100"/>
            </w:tcMar>
            <w:vAlign w:val="center"/>
          </w:tcPr>
          <w:p>
            <w:r>
              <w:rPr>
                <w:b w:val="false"/>
                <w:bCs w:val="false"/>
                <w:color w:val="000000"/>
                <w:sz w:val="20"/>
                <w:szCs w:val="20"/>
              </w:rPr>
              <w:t xml:space="preserve">Compte provider (tenant Acronis)</w:t>
            </w:r>
          </w:p>
        </w:tc>
        <w:tc>
          <w:tcPr>
            <w:tcW w:type="dxa" w:w="2550"/>
            <w:tcMar>
              <w:top w:type="dxa" w:w="80"/>
              <w:left w:type="dxa" w:w="100"/>
              <w:bottom w:type="dxa" w:w="80"/>
              <w:right w:type="dxa" w:w="100"/>
            </w:tcMar>
            <w:vAlign w:val="center"/>
          </w:tcPr>
          <w:p>
            <w:r>
              <w:rPr>
                <w:b w:val="false"/>
                <w:bCs w:val="false"/>
                <w:color w:val="000000"/>
                <w:sz w:val="20"/>
                <w:szCs w:val="20"/>
              </w:rPr>
              <w:t xml:space="preserve">entities_id, is_recursive, backupgestion_providers_id_parent (arbre revendeur), acronis_tenant_id (identité réelle du tenant), connection_failure_since (nullable, suivi des échecs — 4.4), key_salt (sel aléatoire non secret — 4.4 quater), users_id_keyowner + keyowner_name + keyowner_email (référent pour la dérivation de clé, snapshot figé à la création), entity_name_snapshot (idem pour l'entité) ; comptes Accounts rattachés côté Accounts, pas de FK locale</w:t>
            </w:r>
          </w:p>
        </w:tc>
      </w:tr>
      <w:tr>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glpi_plugin_backupgestion_credentials</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Identifiants API chiffrés (catégorie a)</w:t>
            </w:r>
          </w:p>
        </w:tc>
        <w:tc>
          <w:tcPr>
            <w:tcW w:type="dxa" w:w="2550"/>
            <w:shd w:fill="F2F2F2" w:val="clear"/>
            <w:tcMar>
              <w:top w:type="dxa" w:w="80"/>
              <w:left w:type="dxa" w:w="100"/>
              <w:bottom w:type="dxa" w:w="80"/>
              <w:right w:type="dxa" w:w="100"/>
            </w:tcMar>
            <w:vAlign w:val="center"/>
          </w:tcPr>
          <w:p>
            <w:r>
              <w:rPr>
                <w:b w:val="false"/>
                <w:bCs w:val="false"/>
                <w:color w:val="000000"/>
                <w:sz w:val="20"/>
                <w:szCs w:val="20"/>
              </w:rPr>
              <w:t xml:space="preserve">providers_id ; cred_key/cred_value chiffré (clé non stockée, dérivée à la volée — 4.4 quater)</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glpi_plugin_backupgestion_configs</w:t>
            </w:r>
          </w:p>
        </w:tc>
        <w:tc>
          <w:tcPr>
            <w:tcW w:type="dxa" w:w="3200"/>
            <w:tcMar>
              <w:top w:type="dxa" w:w="80"/>
              <w:left w:type="dxa" w:w="100"/>
              <w:bottom w:type="dxa" w:w="80"/>
              <w:right w:type="dxa" w:w="100"/>
            </w:tcMar>
            <w:vAlign w:val="center"/>
          </w:tcPr>
          <w:p>
            <w:r>
              <w:rPr>
                <w:b w:val="false"/>
                <w:bCs w:val="false"/>
                <w:color w:val="000000"/>
                <w:sz w:val="20"/>
                <w:szCs w:val="20"/>
              </w:rPr>
              <w:t xml:space="preserve">Configuration technique du plugin + valeurs par défaut Accounts (4.4 bis)</w:t>
            </w:r>
          </w:p>
        </w:tc>
        <w:tc>
          <w:tcPr>
            <w:tcW w:type="dxa" w:w="2550"/>
            <w:tcMar>
              <w:top w:type="dxa" w:w="80"/>
              <w:left w:type="dxa" w:w="100"/>
              <w:bottom w:type="dxa" w:w="80"/>
              <w:right w:type="dxa" w:w="100"/>
            </w:tcMar>
            <w:vAlign w:val="center"/>
          </w:tcPr>
          <w:p>
            <w:r>
              <w:rPr>
                <w:b w:val="false"/>
                <w:bCs w:val="false"/>
                <w:color w:val="000000"/>
                <w:sz w:val="20"/>
                <w:szCs w:val="20"/>
              </w:rPr>
              <w:t xml:space="preserve">config_key/config_value — empreinte Accounts par défaut, mapping accounttype, timeout session (catégorie b uniquement, 4.4 ter)…</w:t>
            </w:r>
          </w:p>
        </w:tc>
      </w:tr>
      <w:tr>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glpi_plugin_backupgestion_storages</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Espace de stockage — objet GLPI à part entière : paramètres de connexion propres à GLPI (pas mirroré depuis Acronis)</w:t>
            </w:r>
          </w:p>
        </w:tc>
        <w:tc>
          <w:tcPr>
            <w:tcW w:type="dxa" w:w="2550"/>
            <w:shd w:fill="F2F2F2" w:val="clear"/>
            <w:tcMar>
              <w:top w:type="dxa" w:w="80"/>
              <w:left w:type="dxa" w:w="100"/>
              <w:bottom w:type="dxa" w:w="80"/>
              <w:right w:type="dxa" w:w="100"/>
            </w:tcMar>
            <w:vAlign w:val="center"/>
          </w:tcPr>
          <w:p>
            <w:r>
              <w:rPr>
                <w:b w:val="false"/>
                <w:bCs w:val="false"/>
                <w:color w:val="000000"/>
                <w:sz w:val="20"/>
                <w:szCs w:val="20"/>
              </w:rPr>
              <w:t xml:space="preserve">itemtype/items_id → équipement GLPI (NAS, serveur…), nullable ; storage_type, connection_params (JSON) ; provider_ref + acronis_tenant_id renseignés seulement si stockage Acronis natif découvert via l'API</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glpi_plugin_backupgestion_storage_accounts</w:t>
            </w:r>
          </w:p>
        </w:tc>
        <w:tc>
          <w:tcPr>
            <w:tcW w:type="dxa" w:w="3200"/>
            <w:tcMar>
              <w:top w:type="dxa" w:w="80"/>
              <w:left w:type="dxa" w:w="100"/>
              <w:bottom w:type="dxa" w:w="80"/>
              <w:right w:type="dxa" w:w="100"/>
            </w:tcMar>
            <w:vAlign w:val="center"/>
          </w:tcPr>
          <w:p>
            <w:r>
              <w:rPr>
                <w:b w:val="false"/>
                <w:bCs w:val="false"/>
                <w:color w:val="000000"/>
                <w:sz w:val="20"/>
                <w:szCs w:val="20"/>
              </w:rPr>
              <w:t xml:space="preserve">Liaison stockage ↔ comptes Accounts (0..N)</w:t>
            </w:r>
          </w:p>
        </w:tc>
        <w:tc>
          <w:tcPr>
            <w:tcW w:type="dxa" w:w="2550"/>
            <w:tcMar>
              <w:top w:type="dxa" w:w="80"/>
              <w:left w:type="dxa" w:w="100"/>
              <w:bottom w:type="dxa" w:w="80"/>
              <w:right w:type="dxa" w:w="100"/>
            </w:tcMar>
            <w:vAlign w:val="center"/>
          </w:tcPr>
          <w:p>
            <w:r>
              <w:rPr>
                <w:b w:val="false"/>
                <w:bCs w:val="false"/>
                <w:color w:val="000000"/>
                <w:sz w:val="20"/>
                <w:szCs w:val="20"/>
              </w:rPr>
              <w:t xml:space="preserve">storages_id, role (login/chiffrement…), plugin_accounts_accounts_id</w:t>
            </w:r>
          </w:p>
        </w:tc>
      </w:tr>
      <w:tr>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glpi_plugin_backupgestion_device_links</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Rattachement appareil ↔ équipement GLPI (léger : aucune donnée descriptive mirrorée, tout vient de l'API en direct)</w:t>
            </w:r>
          </w:p>
        </w:tc>
        <w:tc>
          <w:tcPr>
            <w:tcW w:type="dxa" w:w="2550"/>
            <w:shd w:fill="F2F2F2" w:val="clear"/>
            <w:tcMar>
              <w:top w:type="dxa" w:w="80"/>
              <w:left w:type="dxa" w:w="100"/>
              <w:bottom w:type="dxa" w:w="80"/>
              <w:right w:type="dxa" w:w="100"/>
            </w:tcMar>
            <w:vAlign w:val="center"/>
          </w:tcPr>
          <w:p>
            <w:r>
              <w:rPr>
                <w:b w:val="false"/>
                <w:bCs w:val="false"/>
                <w:color w:val="000000"/>
                <w:sz w:val="20"/>
                <w:szCs w:val="20"/>
              </w:rPr>
              <w:t xml:space="preserve">acronis_tenant_id + provider_ref (unicité) ; itemtype/items_id → équipement GLPI, nullable ; match_status ; last_checked_at</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glpi_plugin_backupgestion_discovery_logs</w:t>
            </w:r>
          </w:p>
        </w:tc>
        <w:tc>
          <w:tcPr>
            <w:tcW w:type="dxa" w:w="3200"/>
            <w:tcMar>
              <w:top w:type="dxa" w:w="80"/>
              <w:left w:type="dxa" w:w="100"/>
              <w:bottom w:type="dxa" w:w="80"/>
              <w:right w:type="dxa" w:w="100"/>
            </w:tcMar>
            <w:vAlign w:val="center"/>
          </w:tcPr>
          <w:p>
            <w:r>
              <w:rPr>
                <w:b w:val="false"/>
                <w:bCs w:val="false"/>
                <w:color w:val="000000"/>
                <w:sz w:val="20"/>
                <w:szCs w:val="20"/>
              </w:rPr>
              <w:t xml:space="preserve">Journal des exécutions de la tâche périodique de détection de rattachement (seul traitement de fond du plugin)</w:t>
            </w:r>
          </w:p>
        </w:tc>
        <w:tc>
          <w:tcPr>
            <w:tcW w:type="dxa" w:w="2550"/>
            <w:tcMar>
              <w:top w:type="dxa" w:w="80"/>
              <w:left w:type="dxa" w:w="100"/>
              <w:bottom w:type="dxa" w:w="80"/>
              <w:right w:type="dxa" w:w="100"/>
            </w:tcMar>
            <w:vAlign w:val="center"/>
          </w:tcPr>
          <w:p>
            <w:r>
              <w:rPr>
                <w:b w:val="false"/>
                <w:bCs w:val="false"/>
                <w:color w:val="000000"/>
                <w:sz w:val="20"/>
                <w:szCs w:val="20"/>
              </w:rPr>
              <w:t xml:space="preserve">providers_id ; éléments détectés, erreurs, horodatage</w:t>
            </w:r>
          </w:p>
        </w:tc>
      </w:tr>
    </w:tbl>
    <w:p>
      <w:pPr>
        <w:spacing w:after="160"/>
      </w:pPr>
      <w:r>
        <w:t xml:space="preserve">Le champ générique itemtype/items_id (plutôt qu'une FK figée vers Computer) permet de rattacher un appareil ou un stockage à n'importe quel type d'équipement GLPI (Ordinateur, Équipement réseau, ou tout autre itemtype pertinent), à l'image de l'usage déjà fait de champs génériques dans l'écosystème des plugins GLPI. Notez que glpi_plugin_backupgestion_credentials ne contient jamais la clé de chiffrement elle-même : elle n'est stockée nulle part, ni localement ni dans Accounts, mais recalculée à la volée (3.3, 4.4 quater) — la table ne contient que les valeurs chiffrées et le sel non secret ayant servi à la dérivation.</w:t>
      </w:r>
    </w:p>
    <w:p>
      <w:pPr>
        <w:pStyle w:val="Heading3"/>
        <w:spacing w:after="100" w:before="200"/>
      </w:pPr>
      <w:r>
        <w:t xml:space="preserve">4.2 bis — Gestion des entités et sous-entités</w:t>
      </w:r>
    </w:p>
    <w:p>
      <w:pPr>
        <w:spacing w:after="160"/>
      </w:pPr>
      <w:r>
        <w:t xml:space="preserve">Oui, gérée au niveau du plugin :</w:t>
      </w:r>
    </w:p>
    <w:p>
      <w:pPr>
        <w:pStyle w:val="ListParagraph"/>
        <w:numPr>
          <w:ilvl w:val="0"/>
          <w:numId w:val="1"/>
        </w:numPr>
        <w:spacing w:after="80"/>
      </w:pPr>
      <w:r>
        <w:rPr>
          <w:b/>
          <w:bCs/>
        </w:rPr>
        <w:t xml:space="preserve">Compte provider (Provider) — </w:t>
      </w:r>
      <w:r>
        <w:t xml:space="preserve">porte entities_id et is_recursive, avec maybeRecursive() = true, canRecurs() basé sur le droit CREATE, et isEntityAssign() = true. Un provider créé dans une entité racine avec la case "Sous-entités" activée est utilisable pour synchroniser des équipements situés dans ses sous-entités.</w:t>
      </w:r>
    </w:p>
    <w:p>
      <w:pPr>
        <w:pStyle w:val="ListParagraph"/>
        <w:numPr>
          <w:ilvl w:val="0"/>
          <w:numId w:val="1"/>
        </w:numPr>
        <w:spacing w:after="80"/>
      </w:pPr>
      <w:r>
        <w:rPr>
          <w:b/>
          <w:bCs/>
        </w:rPr>
        <w:t xml:space="preserve">Objets rattachés (StorageSpace, Device, BackupPlan) — </w:t>
      </w:r>
      <w:r>
        <w:t xml:space="preserve">héritent de l'entité de l'équipement GLPI auquel ils sont rattachés, quand ce rattachement existe (ils suivent alors les règles d'entité natives de cet équipement). Tant qu'ils ne sont pas rattachés, ils héritent de l'entité du compte provider parent.</w:t>
      </w:r>
    </w:p>
    <w:p>
      <w:pPr>
        <w:pStyle w:val="ListParagraph"/>
        <w:numPr>
          <w:ilvl w:val="0"/>
          <w:numId w:val="1"/>
        </w:numPr>
        <w:spacing w:after="80"/>
      </w:pPr>
      <w:r>
        <w:t xml:space="preserve">Les écrans de recherche (SearchOptions) respectent le filtre d'entité standard GLPI (entité courante + sous-entités si sélectionné), comme pour tout objet GLPI recursif.</w:t>
      </w:r>
    </w:p>
    <w:p>
      <w:pPr>
        <w:spacing w:after="160"/>
      </w:pPr>
      <w:r>
        <w:rPr>
          <w:b/>
          <w:bCs/>
        </w:rPr>
        <w:t xml:space="preserve">Décision : </w:t>
      </w:r>
      <w:r>
        <w:t xml:space="preserve">un même tenant Acronis réel peut être représenté par plusieurs comptes provider distincts dans BackupGestion, chacun avec ses propres identifiants et sa propre entité GLPI — aucune contrainte d'unicité n'est imposée entre un tenant Acronis et un compte provider.</w:t>
      </w:r>
    </w:p>
    <w:p>
      <w:pPr>
        <w:spacing w:after="160"/>
      </w:pPr>
      <w:r>
        <w:t xml:space="preserve">Cas type : le compte revendeur de BLConseils voit, pour tous les tenants qu'il gère, au moins les données d'environnement (agents autorisés, volumétrie…), avec ou sans accès à la gestion complète selon le tenant. Si un client comme Pierre ajoute par ailleurs son propre compte provider (ses identifiants complets sur son propre tenant), les deux comptes provider coexistent dans BackupGestion, chacun rattaché à sa propre entité GLPI (BLConseils d'un côté, Pierre de l'autre). L'isolation entre les deux est assurée nativement par le cloisonnement d'entité et les droits GLPI standard, sans mécanisme spécifique à développer : les utilisateurs de l'entité Pierre voient les données complètes remontées par son propre provider, les utilisateurs de l'entité BLConseils voient uniquement ce que le provider revendeur remonte (environnement seulement), sans accès à la gestion de Pierre — les valeurs vivent bien dans deux Provider distincts, même si elles concernent le même tenant réel.</w:t>
      </w:r>
    </w:p>
    <w:p>
      <w:pPr>
        <w:spacing w:after="160"/>
      </w:pPr>
      <w:r>
        <w:rPr>
          <w:b/>
          <w:bCs/>
        </w:rPr>
        <w:t xml:space="preserve">Règle de déduplication (précisée avec Luc) : </w:t>
      </w:r>
      <w:r>
        <w:t xml:space="preserve">il ne peut jamais exister deux définitions "identiques" d'un même espace de stockage réel pour un même tenant.</w:t>
      </w:r>
    </w:p>
    <w:p>
      <w:pPr>
        <w:pStyle w:val="ListParagraph"/>
        <w:numPr>
          <w:ilvl w:val="0"/>
          <w:numId w:val="1"/>
        </w:numPr>
        <w:spacing w:after="80"/>
      </w:pPr>
      <w:r>
        <w:rPr>
          <w:b/>
          <w:bCs/>
        </w:rPr>
        <w:t xml:space="preserve">Si le provider parent n'a qu'un accès environnement </w:t>
      </w:r>
      <w:r>
        <w:t xml:space="preserve">(agents autorisés, volumétrie globale) sur le tenant enfant, aucun risque de doublon : il n'a tout simplement pas accès à la définition réelle des espaces de stockage, plans ou appareils de ce tenant — sa synchro ne remonte que des compteurs/agrégats, pas d'objets StorageSpace/BackupPlan détaillés pour ce tenant.</w:t>
      </w:r>
    </w:p>
    <w:p>
      <w:pPr>
        <w:pStyle w:val="ListParagraph"/>
        <w:numPr>
          <w:ilvl w:val="0"/>
          <w:numId w:val="1"/>
        </w:numPr>
        <w:spacing w:after="80"/>
      </w:pPr>
      <w:r>
        <w:rPr>
          <w:b/>
          <w:bCs/>
        </w:rPr>
        <w:t xml:space="preserve">Si le provider parent a la même visibilité que le provider enfant </w:t>
      </w:r>
      <w:r>
        <w:t xml:space="preserve">(gestion complète du tenant), les deux doivent pointer vers les MÊMES objets StorageSpace/Device/BackupPlan plutôt que d'en créer une copie chacun. C'est ce qui permet de gérer plusieurs logins sur un même tenant, avec des droits différents : si le login-admin (provider enfant) modifie un espace de stockage, la modification se reflète pour le login-tech du même tenant ainsi que, s'il a le droit, pour le login-BLConseils du provider parent — puisqu'il s'agit de la même fiche GLPI.</w:t>
      </w:r>
    </w:p>
    <w:p>
      <w:pPr>
        <w:spacing w:after="160"/>
      </w:pPr>
      <w:r>
        <w:rPr>
          <w:b/>
          <w:bCs/>
        </w:rPr>
        <w:t xml:space="preserve">Portée réduite depuis la décision d'architecture (2.1) : </w:t>
      </w:r>
      <w:r>
        <w:t xml:space="preserve">plans et statistiques n'étant plus stockés du tout (pure live query), cette règle ne s'applique concrètement qu'à glpi_plugin_backupgestion_device_links (rattachement appareil ↔ équipement) et aux espaces de stockage Acronis natifs découverts via l'API. La déduplication ne peut pas reposer sur providers_id (propre à chaque compte provider local), mais sur l'identité réelle du tenant côté Acronis : d'où le champ acronis_tenant_id sur glpi_plugin_backupgestion_providers, et une clé d'unicité (acronis_tenant_id, provider_ref) sur ces tables de rattachement, plutôt que (providers_id, provider_ref). La tâche périodique de détection (4.7) qui alimente ces tables met à jour le rattachement existant s'il est déjà connu pour ce tenant réel, quel que soit le provider qui l'avait détecté initialement.</w:t>
      </w:r>
    </w:p>
    <w:p>
      <w:pPr>
        <w:pStyle w:val="Heading3"/>
        <w:spacing w:after="100" w:before="200"/>
      </w:pPr>
      <w:r>
        <w:t xml:space="preserve">4.2 ter — Hiérarchie des tenants (modèle revendeur)</w:t>
      </w:r>
    </w:p>
    <w:p>
      <w:pPr>
        <w:spacing w:after="160"/>
      </w:pPr>
      <w:r>
        <w:t xml:space="preserve">Côté Acronis, la structure réelle est arborescente : un compte revendeur (identifiants API du tenant racine) gère son propre environnement "personnel" ainsi que plusieurs tenants clients, chacun doté de son propre compte administrateur, pouvant lui-même compter plusieurs comptes collaborateurs/utilisateurs. Un client peut à son tour être revendeur et gérer ses propres tenants enfants — la profondeur de l'arbre n'est donc pas fixe.</w:t>
      </w:r>
    </w:p>
    <w:p>
      <w:pPr>
        <w:pStyle w:val="ListParagraph"/>
        <w:numPr>
          <w:ilvl w:val="0"/>
          <w:numId w:val="1"/>
        </w:numPr>
        <w:spacing w:after="80"/>
      </w:pPr>
      <w:r>
        <w:rPr>
          <w:b/>
          <w:bCs/>
        </w:rPr>
        <w:t xml:space="preserve">Modélisation — </w:t>
      </w:r>
      <w:r>
        <w:t xml:space="preserve">ajout d'un champ backupgestion_providers_id_parent (auto-référence) sur glpi_plugin_backupgestion_providers, formant un arbre qui reflète fidèlement la structure Acronis.</w:t>
      </w:r>
    </w:p>
    <w:p>
      <w:pPr>
        <w:pStyle w:val="ListParagraph"/>
        <w:numPr>
          <w:ilvl w:val="0"/>
          <w:numId w:val="1"/>
        </w:numPr>
        <w:spacing w:after="80"/>
      </w:pPr>
      <w:r>
        <w:rPr>
          <w:b/>
          <w:bCs/>
        </w:rPr>
        <w:t xml:space="preserve">Découverte automatique — </w:t>
      </w:r>
      <w:r>
        <w:t xml:space="preserve">à partir d'un seul compte provider racine (identifiants API du tenant revendeur), l'AcronisProvider liste les tenants enfants via l'Account Management API et crée/met à jour automatiquement un Provider GLPI par tenant découvert. Aucune saisie manuelle tenant par tenant.</w:t>
      </w:r>
    </w:p>
    <w:p>
      <w:pPr>
        <w:pStyle w:val="ListParagraph"/>
        <w:numPr>
          <w:ilvl w:val="0"/>
          <w:numId w:val="1"/>
        </w:numPr>
        <w:spacing w:after="80"/>
      </w:pPr>
      <w:r>
        <w:rPr>
          <w:b/>
          <w:bCs/>
        </w:rPr>
        <w:t xml:space="preserve">Niveau de gestion ("totale" vs "environnement seulement") — </w:t>
      </w:r>
      <w:r>
        <w:t xml:space="preserve">Acronis distingue, pour un revendeur, une gestion totale d'un tenant client (plans, stockage inclus) d'une gestion limitée à l'environnement (volumétrie, nombre/type d'agents, sans les plans ni le stockage). En V1 (lecture), cette distinction n'appelle aucun champ ni configuration supplémentaire côté BackupGestion : elle se traduit simplement par ce que l'API retourne selon les droits réels des identifiants utilisés (un tenant en gestion "environnement seulement" n'exposera pas de détail de plans). En V2 (écriture), toute action devra être précédée d'une vérification de ce niveau de droit, l'API Acronis renvoyant sinon une erreur.</w:t>
      </w:r>
    </w:p>
    <w:p>
      <w:pPr>
        <w:spacing w:after="160"/>
      </w:pPr>
      <w:r>
        <w:rPr>
          <w:b/>
          <w:bCs/>
        </w:rPr>
        <w:t xml:space="preserve">Affichage retenu : </w:t>
      </w:r>
      <w:r>
        <w:t xml:space="preserve">même logique que l'administration des Entités dans GLPI (ou tout autre élément récursif) — la fiche d'un provider affiche un tableau listant ses enfants directs ; un clic sur un enfant ouvre sa propre fiche, qui affiche à son tour ses propres enfants. Ce mode de navigation par niveau (drill-down) fonctionne quelle que soit la profondeur réelle de l'arbre, sans qu'il soit nécessaire de fixer une limite a priori.</w:t>
      </w:r>
    </w:p>
    <w:p>
      <w:pPr>
        <w:spacing w:after="160"/>
      </w:pPr>
      <w:r>
        <w:rPr>
          <w:i/>
          <w:iCs/>
          <w:color w:val="595959"/>
        </w:rPr>
        <w:t xml:space="preserve">D'après la lecture de la documentation API par Luc, il n'y a pas de distinction particulière à ce niveau : la hiérarchie des tenants s'obtient via les endpoints standards de gestion des tenants, sans endpoint séparé dédié aux "enfants d'un revendeur". Ce point n'est donc plus un risque identifié ; sa vérification fine reste simplement incluse dans le PoC de connexion API du jalon 0, comme pour tous les autres endpoints utilisés par le plugin.</w:t>
      </w:r>
    </w:p>
    <w:p>
      <w:pPr>
        <w:pStyle w:val="Heading3"/>
        <w:spacing w:after="100" w:before="200"/>
      </w:pPr>
      <w:r>
        <w:t xml:space="preserve">4.3 Pattern Provider (multi-provider extensible)</w:t>
      </w:r>
    </w:p>
    <w:p>
      <w:pPr>
        <w:spacing w:after="160"/>
      </w:pPr>
      <w:r>
        <w:t xml:space="preserve">Principe ProviderInterface / ProviderFactory (contrat commun multi-provider) :</w:t>
      </w:r>
    </w:p>
    <w:p>
      <w:pPr>
        <w:pStyle w:val="ListParagraph"/>
        <w:numPr>
          <w:ilvl w:val="0"/>
          <w:numId w:val="1"/>
        </w:numPr>
        <w:spacing w:after="80"/>
      </w:pPr>
      <w:r>
        <w:t xml:space="preserve">ProviderInterface : getLabel(), getEndpoints(), getCredentialFields(), testConnection(), listStorages(), listDevices(), listBackupPlans(), listBackupStats().</w:t>
      </w:r>
    </w:p>
    <w:p>
      <w:pPr>
        <w:pStyle w:val="ListParagraph"/>
        <w:numPr>
          <w:ilvl w:val="0"/>
          <w:numId w:val="1"/>
        </w:numPr>
        <w:spacing w:after="80"/>
      </w:pPr>
      <w:r>
        <w:rPr>
          <w:b/>
          <w:bCs/>
        </w:rPr>
        <w:t xml:space="preserve">Appel en direct, pas en synchro — </w:t>
      </w:r>
      <w:r>
        <w:t xml:space="preserve">depuis la décision d'architecture (2.1), listStorages()/listDevices()/listBackupPlans()/listBackupStats() sont appelées à chaque affichage de page (dashboard live), pas par un job de synchro qui peuplerait des tables miroir. Un cache technique très court (quelques minutes, en cache GLPI standard) peut être ajouté pour absorber les rechargements rapprochés et amortir les limites de débit de l'API, sans devenir un mécanisme de sync.</w:t>
      </w:r>
    </w:p>
    <w:p>
      <w:pPr>
        <w:pStyle w:val="ListParagraph"/>
        <w:numPr>
          <w:ilvl w:val="0"/>
          <w:numId w:val="1"/>
        </w:numPr>
        <w:spacing w:after="80"/>
      </w:pPr>
      <w:r>
        <w:t xml:space="preserve">ProviderFactory::create(type, credentials, endpoint) et ProviderFactory::getAvailableProviders().</w:t>
      </w:r>
    </w:p>
    <w:p>
      <w:pPr>
        <w:pStyle w:val="ListParagraph"/>
        <w:numPr>
          <w:ilvl w:val="0"/>
          <w:numId w:val="1"/>
        </w:numPr>
        <w:spacing w:after="80"/>
      </w:pPr>
      <w:r>
        <w:t xml:space="preserve">AcronisProvider (V1) : authentification OAuth2 client_credentials (POST /idp/token sur l'URL de datacenter du tenant), appels à la Resource Management API (/api/resource_management/v4/…) pour les ressources protégées, et à l'API de reporting/usage pour les volumes de stockage.</w:t>
      </w:r>
    </w:p>
    <w:p>
      <w:pPr>
        <w:pStyle w:val="ListParagraph"/>
        <w:numPr>
          <w:ilvl w:val="0"/>
          <w:numId w:val="1"/>
        </w:numPr>
        <w:spacing w:after="80"/>
      </w:pPr>
      <w:r>
        <w:t xml:space="preserve">Conception pensée pour ajouter d'autres providers par la suite (Veeam, Synology Active Backup, Cohesity…) sans toucher au cœur du plugin.</w:t>
      </w:r>
    </w:p>
    <w:p>
      <w:pPr>
        <w:spacing w:after="160"/>
      </w:pPr>
      <w:r>
        <w:rPr>
          <w:i/>
          <w:iCs/>
          <w:color w:val="595959"/>
        </w:rPr>
        <w:t xml:space="preserve">Point à valider en jalon 0 : mapping exact des endpoints Acronis (Resource Management API v4, API de reporting/usage) sur un tenant de test réel — la documentation publique confirme le principe (OAuth2, /idp/token, /api/resource_management/v4/resource_statuses) mais le détail des champs de volumétrie doit être vérifié en conditions réelles.</w:t>
      </w:r>
    </w:p>
    <w:p>
      <w:pPr>
        <w:pStyle w:val="Heading3"/>
        <w:spacing w:after="100" w:before="200"/>
      </w:pPr>
      <w:r>
        <w:t xml:space="preserve">4.3 bis — Architecture des espaces de stockage (multi-backend)</w:t>
      </w:r>
    </w:p>
    <w:p>
      <w:pPr>
        <w:spacing w:after="160"/>
      </w:pPr>
      <w:r>
        <w:t xml:space="preserve">Un espace de stockage de sauvegarde peut être de nature très différente : stockage Acronis natif (cloud), NAS, serveur de fichiers "classique", ou stockage compatible S3 chez un tiers (Wasabi, Amazon S3, autres). L'architecture doit rester simple pour la V1 tout en étant immédiatement évolutive.</w:t>
      </w:r>
    </w:p>
    <w:p>
      <w:pPr>
        <w:pStyle w:val="ListParagraph"/>
        <w:numPr>
          <w:ilvl w:val="0"/>
          <w:numId w:val="1"/>
        </w:numPr>
        <w:spacing w:after="80"/>
      </w:pPr>
      <w:r>
        <w:rPr>
          <w:b/>
          <w:bCs/>
        </w:rPr>
        <w:t xml:space="preserve">StorageBackendInterface — </w:t>
      </w:r>
      <w:r>
        <w:t xml:space="preserve">même logique que ProviderInterface pour les providers de sauvegarde : chaque type de stockage (AcronisStorageBackend, NasBackend, FileServerBackend, S3CompatibleBackend pour Wasabi/Amazon S3/autres…) implémente un contrat commun définissant le schéma de ses paramètres de connexion (variable selon le type — hôte/chemin pour un NAS, endpoint/bucket/région pour un backend S3-compatible…), le nombre et la nature des comptes Accounts qu'il nécessite, et ses méthodes de lecture de volumétrie/quota.</w:t>
      </w:r>
    </w:p>
    <w:p>
      <w:pPr>
        <w:pStyle w:val="ListParagraph"/>
        <w:numPr>
          <w:ilvl w:val="0"/>
          <w:numId w:val="1"/>
        </w:numPr>
        <w:spacing w:after="80"/>
      </w:pPr>
      <w:r>
        <w:rPr>
          <w:b/>
          <w:bCs/>
        </w:rPr>
        <w:t xml:space="preserve">glpi_plugin_backupgestion_storages — </w:t>
      </w:r>
      <w:r>
        <w:t xml:space="preserve">complétée d'un champ storage_type (acronis|nas|fileserver|s3_compatible|…) et d'un champ connection_params (JSON) contenant uniquement les paramètres NON sensibles propres au type (hôte, chemin, endpoint, bucket, région…).</w:t>
      </w:r>
    </w:p>
    <w:p>
      <w:pPr>
        <w:pStyle w:val="ListParagraph"/>
        <w:numPr>
          <w:ilvl w:val="0"/>
          <w:numId w:val="1"/>
        </w:numPr>
        <w:spacing w:after="80"/>
      </w:pPr>
      <w:r>
        <w:rPr>
          <w:b/>
          <w:bCs/>
        </w:rPr>
        <w:t xml:space="preserve">glpi_plugin_backupgestion_storage_accounts (nouvelle table de liaison) — </w:t>
      </w:r>
      <w:r>
        <w:t xml:space="preserve">(storages_id, role, plugin_accounts_accounts_id) — permet de rattacher PLUSIEURS comptes Accounts à un même espace de stockage (ex : un compte de rôle "login" pour l'identifiant/mot de passe d'accès, un compte de rôle "chiffrement" pour la clé qui protège ce mot de passe — voir 3.3 et 4.4 bis), sans limiter à une seule référence.</w:t>
      </w:r>
    </w:p>
    <w:p>
      <w:pPr>
        <w:pStyle w:val="ListParagraph"/>
        <w:numPr>
          <w:ilvl w:val="0"/>
          <w:numId w:val="1"/>
        </w:numPr>
        <w:spacing w:after="80"/>
      </w:pPr>
      <w:r>
        <w:t xml:space="preserve">Conception pensée pour ajouter un nouveau type de stockage sans toucher au cœur du plugin, même philosophie que le pattern Provider (section 4.3).</w:t>
      </w:r>
    </w:p>
    <w:p>
      <w:pPr>
        <w:pStyle w:val="Heading3"/>
        <w:spacing w:after="100" w:before="200"/>
      </w:pPr>
      <w:r>
        <w:t xml:space="preserve">4.4 Intégration du plugin Accounts (détail technique)</w:t>
      </w:r>
    </w:p>
    <w:p>
      <w:pPr>
        <w:spacing w:after="160"/>
      </w:pPr>
      <w:r>
        <w:t xml:space="preserve">Le plugin Accounts expose une classe \GlpiPlugin\Accounts\Account permettant de rattacher un compte à n'importe quel objet GLPI, via un dropdown filtré par type de compte. BackupGestion s'appuie sur ce mécanisme pour la catégorie (b) uniquement, avec un type de compte Accounts dédié par catégorie de secret listée en 3.3(b) — la catégorie (a) (identifiants API) n'est jamais stockée dans Accounts et ne fait l'objet d'aucun compte Accounts (voir 4.4 quater pour son mécanisme propre) :</w:t>
      </w:r>
    </w:p>
    <w:p>
      <w:pPr>
        <w:pStyle w:val="ListParagraph"/>
        <w:numPr>
          <w:ilvl w:val="0"/>
          <w:numId w:val="1"/>
        </w:numPr>
        <w:spacing w:after="80"/>
      </w:pPr>
      <w:r>
        <w:rPr>
          <w:b/>
          <w:bCs/>
        </w:rPr>
        <w:t xml:space="preserve">Admin compte client Acronis — </w:t>
      </w:r>
      <w:r>
        <w:t xml:space="preserve">un compte par tenant, rattaché au compte provider BackupGestion correspondant.</w:t>
      </w:r>
    </w:p>
    <w:p>
      <w:pPr>
        <w:pStyle w:val="ListParagraph"/>
        <w:numPr>
          <w:ilvl w:val="0"/>
          <w:numId w:val="1"/>
        </w:numPr>
        <w:spacing w:after="80"/>
      </w:pPr>
      <w:r>
        <w:rPr>
          <w:b/>
          <w:bCs/>
        </w:rPr>
        <w:t xml:space="preserve">Ressources de stockage (NAS / serveur Acronis / S3 type Wasabi) — </w:t>
      </w:r>
      <w:r>
        <w:t xml:space="preserve">un compte par ressource de stockage, rattaché à l'équipement GLPI ou à l'espace de stockage BackupGestion concerné (section 3.2), via le mécanisme d'association standard d'Accounts (itemtype/items_id).</w:t>
      </w:r>
    </w:p>
    <w:p>
      <w:pPr>
        <w:pStyle w:val="ListParagraph"/>
        <w:numPr>
          <w:ilvl w:val="0"/>
          <w:numId w:val="1"/>
        </w:numPr>
        <w:spacing w:after="80"/>
      </w:pPr>
      <w:r>
        <w:rPr>
          <w:b/>
          <w:bCs/>
        </w:rPr>
        <w:t xml:space="preserve">Comptes techniques par appareil sauvegardé (si retenu) — </w:t>
      </w:r>
      <w:r>
        <w:t xml:space="preserve">rattachés à l'équipement GLPI concerné. Ces comptes ne sont pas consommés techniquement par la synchro : ils sont saisis et consultés manuellement, à titre d'inventaire/documentation IT.</w:t>
      </w:r>
    </w:p>
    <w:p>
      <w:pPr>
        <w:pStyle w:val="ListParagraph"/>
        <w:numPr>
          <w:ilvl w:val="0"/>
          <w:numId w:val="1"/>
        </w:numPr>
        <w:spacing w:after="80"/>
      </w:pPr>
      <w:r>
        <w:t xml:space="preserve">Vérification de disponibilité systématique : class_exists('\\GlpiPlugin\\Accounts\\Account') avant toute opération sensible (chiffrement, déchiffrement, création de compte).</w:t>
      </w:r>
    </w:p>
    <w:p>
      <w:pPr>
        <w:pStyle w:val="ListParagraph"/>
        <w:numPr>
          <w:ilvl w:val="0"/>
          <w:numId w:val="1"/>
        </w:numPr>
        <w:spacing w:after="80"/>
      </w:pPr>
      <w:r>
        <w:t xml:space="preserve">Création des types de compte dédiés dans glpi_plugin_accounts_accounttypes lors de l'installation du plugin.</w:t>
      </w:r>
    </w:p>
    <w:p>
      <w:pPr>
        <w:pStyle w:val="ListParagraph"/>
        <w:numPr>
          <w:ilvl w:val="0"/>
          <w:numId w:val="1"/>
        </w:numPr>
        <w:spacing w:after="80"/>
      </w:pPr>
      <w:r>
        <w:rPr>
          <w:b/>
          <w:bCs/>
        </w:rPr>
        <w:t xml:space="preserve">Groupes d'accès — </w:t>
      </w:r>
      <w:r>
        <w:t xml:space="preserve">pas de mécanisme spécifique à développer : la segmentation repose sur les champs natifs "Groupe concerné" et "Groupe responsable" de la fiche Accounts (4.4 bis), pré-remplis depuis la configuration du provider. Confirmé par Luc : le plugin Accounts gère nativement cette segmentation par groupe. Il propose même une gestion de la clé de chiffrement par entité pour ses propres comptes (catégorie b) — complémentaire, mais sans lien avec la dérivation de clé locale de la catégorie (a), qui est déjà nativement rattachée à l'entité du provider (4.4 quater).</w:t>
      </w:r>
    </w:p>
    <w:p>
      <w:pPr>
        <w:spacing w:after="160"/>
      </w:pPr>
      <w:r>
        <w:rPr>
          <w:b/>
          <w:bCs/>
        </w:rPr>
        <w:t xml:space="preserve">Suppression d'un provider — modèle unifié, repensé avec l'architecture live query (précisé avec Luc) : </w:t>
      </w:r>
      <w:r>
        <w:t xml:space="preserve">la quasi-totalité des données affichées n'étant jamais stockée localement (2.1), il ne reste à gérer que les tables de liaison locales (rattachements, storage_accounts) — les comptes Accounts, eux, ne sont JAMAIS supprimés par BackupGestion, en toute circonstance, conformément au principe de fragmentation (3.3). Si un provider disparaît ou devient inaccessible, l'affichage live s'arrête de lui-même : les accès sont donc "naturellement" gérés, sans mécanisme de nettoyage Accounts à construire. Un seul traitement de suppression suffit — plus besoin de l'action distincte "Suppression définitive" envisagée précédemment ; si quelqu'un veut réellement purger des comptes Accounts abandonnés, cela reste une action volontaire et séparée, prise directement dans le plugin Accounts.</w:t>
      </w:r>
    </w:p>
    <w:p>
      <w:pPr>
        <w:spacing w:after="160"/>
      </w:pPr>
      <w:r>
        <w:rPr>
          <w:b/>
          <w:bCs/>
        </w:rPr>
        <w:t xml:space="preserve">a) Suppression déclenchée dans GLPI — </w:t>
      </w:r>
      <w:r>
        <w:t xml:space="preserve">traitement standard (corbeille puis purge GLPI classique) : supprime le provider et ses seules tables de liaison locales (device_links, rattachements de stockage le concernant), sans jamais toucher aux comptes Accounts. Cascade sur les enfants (arbre de la section 4.2 ter) :</w:t>
      </w:r>
    </w:p>
    <w:p>
      <w:pPr>
        <w:pStyle w:val="ListParagraph"/>
        <w:numPr>
          <w:ilvl w:val="0"/>
          <w:numId w:val="1"/>
        </w:numPr>
        <w:spacing w:after="80"/>
      </w:pPr>
      <w:r>
        <w:rPr>
          <w:b/>
          <w:bCs/>
        </w:rPr>
        <w:t xml:space="preserve">Enfant sans provider indépendant </w:t>
      </w:r>
      <w:r>
        <w:t xml:space="preserve">(uniquement découvert via les identifiants du parent, aucune ligne propre dans glpi_plugin_backupgestion_credentials) → supprimé en cascade avec le parent, exactement comme une suppression manuelle du même enfant.</w:t>
      </w:r>
    </w:p>
    <w:p>
      <w:pPr>
        <w:pStyle w:val="ListParagraph"/>
        <w:numPr>
          <w:ilvl w:val="0"/>
          <w:numId w:val="1"/>
        </w:numPr>
        <w:spacing w:after="80"/>
      </w:pPr>
      <w:r>
        <w:rPr>
          <w:b/>
          <w:bCs/>
        </w:rPr>
        <w:t xml:space="preserve">Enfant avec provider indépendant </w:t>
      </w:r>
      <w:r>
        <w:t xml:space="preserve">(ses propres identifiants API) → non supprimé ; seul le lien parent-enfant (backupgestion_providers_id_parent) est retiré. L'enfant reste pleinement fonctionnel de son côté ; une notification GLPI ("maintien") informe son responsable que la gestion par le tenant racine a cessé.</w:t>
      </w:r>
    </w:p>
    <w:p>
      <w:pPr>
        <w:spacing w:after="160"/>
      </w:pPr>
      <w:r>
        <w:rPr>
          <w:b/>
          <w:bCs/>
        </w:rPr>
        <w:t xml:space="preserve">b) Non-accès au provider — </w:t>
      </w:r>
      <w:r>
        <w:t xml:space="preserve">détecté par la tâche périodique de détection (4.7), deux cas à distinguer :</w:t>
      </w:r>
    </w:p>
    <w:p>
      <w:pPr>
        <w:pStyle w:val="ListParagraph"/>
        <w:numPr>
          <w:ilvl w:val="0"/>
          <w:numId w:val="1"/>
        </w:numPr>
        <w:spacing w:after="80"/>
      </w:pPr>
      <w:r>
        <w:rPr>
          <w:b/>
          <w:bCs/>
        </w:rPr>
        <w:t xml:space="preserve">Le tenant a réellement disparu côté Acronis </w:t>
      </w:r>
      <w:r>
        <w:t xml:space="preserve">(réponse API explicite de type "tenant introuvable/supprimé", à distinguer techniquement d'une simple erreur de connexion — point à confirmer en jalon 0) → traitement identique au (a), déclenché automatiquement par la tâche.</w:t>
      </w:r>
    </w:p>
    <w:p>
      <w:pPr>
        <w:pStyle w:val="ListParagraph"/>
        <w:numPr>
          <w:ilvl w:val="0"/>
          <w:numId w:val="1"/>
        </w:numPr>
        <w:spacing w:after="80"/>
      </w:pPr>
      <w:r>
        <w:rPr>
          <w:b/>
          <w:bCs/>
        </w:rPr>
        <w:t xml:space="preserve">Erreur de connexion </w:t>
      </w:r>
      <w:r>
        <w:t xml:space="preserve">(identifiants invalides, timeout, tenant temporairement injoignable) → un compteur de jours d'échec consécutifs est incrémenté à chaque exécution en échec (nouveau champ sur le provider). Au-delà d'un seuil paramétrable PAR PROVIDER (confirmé par Luc — pas un seuil global à l'instance), une notification GLPI demande si le compte doit être conservé : réponse "oui" → réinitialisation du compteur, surveillance normale reprend ; réponse "non" → traitement identique au (a).</w:t>
      </w:r>
    </w:p>
    <w:p>
      <w:pPr>
        <w:pStyle w:val="ListParagraph"/>
        <w:numPr>
          <w:ilvl w:val="0"/>
          <w:numId w:val="1"/>
        </w:numPr>
        <w:spacing w:after="80"/>
      </w:pPr>
      <w:r>
        <w:rPr>
          <w:b/>
          <w:bCs/>
        </w:rPr>
        <w:t xml:space="preserve">Filet de sécurité — </w:t>
      </w:r>
      <w:r>
        <w:t xml:space="preserve">comme toute suppression GLPI standard, ce traitement passe par la corbeille avant purge définitive : un provider supprimé à tort par ce mécanisme automatique reste restaurable.</w:t>
      </w:r>
    </w:p>
    <w:p>
      <w:pPr>
        <w:pStyle w:val="ListParagraph"/>
        <w:numPr>
          <w:ilvl w:val="0"/>
          <w:numId w:val="1"/>
        </w:numPr>
        <w:spacing w:after="80"/>
      </w:pPr>
      <w:r>
        <w:rPr>
          <w:b/>
          <w:bCs/>
        </w:rPr>
        <w:t xml:space="preserve">Notifications — </w:t>
      </w:r>
      <w:r>
        <w:t xml:space="preserve">implémentées via le système natif de notifications GLPI (NotificationTemplate), gabarits multilingues comme tout autre événement GLPI standard, sans système de mail spécifique au plugin. Deux événements : "maintien" (enfant indépendant dont le lien parent est retiré) et "confirmation de maintien" (après échec de connexion prolongé).</w:t>
      </w:r>
    </w:p>
    <w:p>
      <w:pPr>
        <w:spacing w:after="160"/>
      </w:pPr>
      <w:r>
        <w:rPr>
          <w:b/>
          <w:bCs/>
        </w:rPr>
        <w:t xml:space="preserve">Confirmé par lecture du code source (github.com/InfotelGLPI/accounts, fourni par Luc) : </w:t>
      </w:r>
      <w:r>
        <w:t xml:space="preserve">Account étend CommonDBTM (add()/update()/delete() standards) ; l'association itemtype/items_id se fait via la classe séparée Account_Item (table glpi_plugin_accounts_accounts_items), avec des helpers dédiés (Account_Item::add(), ::deleteItemByAccountsAndItem()) ; les champs confirmés incluent notamment plugin_accounts_hashes_id (empreinte), encrypted_password, plugin_accounts_accounttypes_id, entities_id/is_recursive, users_id (utilisateur concerné), users_id_tech (technicien responsable), groups_id/groups_id_tech (groupe concerné/responsable), is_helpdesk_visible (associable à un ticket) — cohérent avec le tableau de pré-remplissage (4.4 bis). Le chiffrement interne d'Accounts (AccountCrypto, format v2 authentifié AES-256-CTR + HMAC) dérive sa clé d'une "empreinte" saisie par un humain, distincte par entité (table AesKey liée à glpi_plugin_accounts_hashes) — c'est précisément ce mécanisme, propre à Accounts et à ses propres secrets de catégorie (b), qui nécessite une saisie interactive et justifie que la catégorie (a) s'en affranchisse complètement (3.3, 4.4 quater).</w:t>
      </w:r>
    </w:p>
    <w:p>
      <w:pPr>
        <w:pStyle w:val="Heading3"/>
        <w:spacing w:after="100" w:before="200"/>
      </w:pPr>
      <w:r>
        <w:t xml:space="preserve">4.4 bis — Pré-remplissage des fiches Accounts créées par le plugin</w:t>
      </w:r>
    </w:p>
    <w:p>
      <w:pPr>
        <w:spacing w:after="160"/>
      </w:pPr>
      <w:r>
        <w:t xml:space="preserve">Chaque fois que BackupGestion crée un compte dans Accounts pour la catégorie (b) (admin compte client, compte de stockage, compte technique par appareil…), les champs de la fiche sont pré-remplis automatiquement selon les règles suivantes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Champ Accounts</w:t>
            </w:r>
          </w:p>
        </w:tc>
        <w:tc>
          <w:tcPr>
            <w:tcW w:type="dxa" w:w="6150"/>
            <w:shd w:fill="1F3864" w:val="clear"/>
            <w:tcMar>
              <w:top w:type="dxa" w:w="80"/>
              <w:left w:type="dxa" w:w="100"/>
              <w:bottom w:type="dxa" w:w="80"/>
              <w:right w:type="dxa" w:w="100"/>
            </w:tcMar>
            <w:vAlign w:val="center"/>
          </w:tcPr>
          <w:p>
            <w:r>
              <w:rPr>
                <w:b/>
                <w:bCs/>
                <w:color w:val="FFFFFF"/>
                <w:sz w:val="20"/>
                <w:szCs w:val="20"/>
              </w:rPr>
              <w:t xml:space="preserve">Valeur pré-remplie par BackupGestion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Nom</w:t>
            </w:r>
          </w:p>
        </w:tc>
        <w:tc>
          <w:tcPr>
            <w:tcW w:type="dxa" w:w="6150"/>
            <w:tcMar>
              <w:top w:type="dxa" w:w="80"/>
              <w:left w:type="dxa" w:w="100"/>
              <w:bottom w:type="dxa" w:w="80"/>
              <w:right w:type="dxa" w:w="100"/>
            </w:tcMar>
            <w:vAlign w:val="center"/>
          </w:tcPr>
          <w:p>
            <w:r>
              <w:rPr>
                <w:b w:val="false"/>
                <w:bCs w:val="false"/>
                <w:color w:val="000000"/>
                <w:sz w:val="20"/>
                <w:szCs w:val="20"/>
              </w:rPr>
              <w:t xml:space="preserve">"[Sauvegarde] &lt;Nature&gt;", avec Nature = "login" ou "chiffrement".</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Identifiant</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La valeur de login réelle. Si Accounts refuse une valeur vide/nulle, repli sur la chaîne littérale "vide".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Empreinte</w:t>
            </w:r>
          </w:p>
        </w:tc>
        <w:tc>
          <w:tcPr>
            <w:tcW w:type="dxa" w:w="6150"/>
            <w:tcMar>
              <w:top w:type="dxa" w:w="80"/>
              <w:left w:type="dxa" w:w="100"/>
              <w:bottom w:type="dxa" w:w="80"/>
              <w:right w:type="dxa" w:w="100"/>
            </w:tcMar>
            <w:vAlign w:val="center"/>
          </w:tcPr>
          <w:p>
            <w:r>
              <w:rPr>
                <w:b w:val="false"/>
                <w:bCs w:val="false"/>
                <w:color w:val="000000"/>
                <w:sz w:val="20"/>
                <w:szCs w:val="20"/>
              </w:rPr>
              <w:t xml:space="preserve">Choisie dans la configuration du provider, parmi les empreintes/hash de chiffrement existants dans Accounts.</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Clé de chiffrement</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Jamais stockée en interne par BackupGestion. Validée par rapport à l'empreinte choisie avant tout chiffrement. Mise en cache de session avec timeout (voir 4.4 ter).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Mot de passe</w:t>
            </w:r>
          </w:p>
        </w:tc>
        <w:tc>
          <w:tcPr>
            <w:tcW w:type="dxa" w:w="6150"/>
            <w:tcMar>
              <w:top w:type="dxa" w:w="80"/>
              <w:left w:type="dxa" w:w="100"/>
              <w:bottom w:type="dxa" w:w="80"/>
              <w:right w:type="dxa" w:w="100"/>
            </w:tcMar>
            <w:vAlign w:val="center"/>
          </w:tcPr>
          <w:p>
            <w:r>
              <w:rPr>
                <w:b w:val="false"/>
                <w:bCs w:val="false"/>
                <w:color w:val="000000"/>
                <w:sz w:val="20"/>
                <w:szCs w:val="20"/>
              </w:rPr>
              <w:t xml:space="preserve">La valeur à protéger (login de compte client, login de stockage…), chiffrée avec la clé ci-dessus avant écriture.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Statut (accountstate)</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Valeur définie dans la configuration du provider.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Type (accounttype)</w:t>
            </w:r>
          </w:p>
        </w:tc>
        <w:tc>
          <w:tcPr>
            <w:tcW w:type="dxa" w:w="6150"/>
            <w:tcMar>
              <w:top w:type="dxa" w:w="80"/>
              <w:left w:type="dxa" w:w="100"/>
              <w:bottom w:type="dxa" w:w="80"/>
              <w:right w:type="dxa" w:w="100"/>
            </w:tcMar>
            <w:vAlign w:val="center"/>
          </w:tcPr>
          <w:p>
            <w:r>
              <w:rPr>
                <w:b w:val="false"/>
                <w:bCs w:val="false"/>
                <w:color w:val="000000"/>
                <w:sz w:val="20"/>
                <w:szCs w:val="20"/>
              </w:rPr>
              <w:t xml:space="preserve">Mapping configuré dans le provider entre 3 cas logiques du plugin ("Admin compte client", "Ressource de stockage", "Compte technique appareil") et les accounttypes réels existants dans l'instance GLPI cible — rend le plugin indépendant du paramétrage Accounts propre à chaque installation.</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Utilisateur concerné</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Valeur définie dans la configuration du provider (champ distinct de "Technicien responsable").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Technicien responsable</w:t>
            </w:r>
          </w:p>
        </w:tc>
        <w:tc>
          <w:tcPr>
            <w:tcW w:type="dxa" w:w="6150"/>
            <w:tcMar>
              <w:top w:type="dxa" w:w="80"/>
              <w:left w:type="dxa" w:w="100"/>
              <w:bottom w:type="dxa" w:w="80"/>
              <w:right w:type="dxa" w:w="100"/>
            </w:tcMar>
            <w:vAlign w:val="center"/>
          </w:tcPr>
          <w:p>
            <w:r>
              <w:rPr>
                <w:b w:val="false"/>
                <w:bCs w:val="false"/>
                <w:color w:val="000000"/>
                <w:sz w:val="20"/>
                <w:szCs w:val="20"/>
              </w:rPr>
              <w:t xml:space="preserve">Valeur définie dans la configuration du provider (champ distinct de "Utilisateur concerné").</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Groupe concerné</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Valeur définie dans la configuration du provider (champ distinct de "Groupe responsable").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Groupe responsable</w:t>
            </w:r>
          </w:p>
        </w:tc>
        <w:tc>
          <w:tcPr>
            <w:tcW w:type="dxa" w:w="6150"/>
            <w:tcMar>
              <w:top w:type="dxa" w:w="80"/>
              <w:left w:type="dxa" w:w="100"/>
              <w:bottom w:type="dxa" w:w="80"/>
              <w:right w:type="dxa" w:w="100"/>
            </w:tcMar>
            <w:vAlign w:val="center"/>
          </w:tcPr>
          <w:p>
            <w:r>
              <w:rPr>
                <w:b w:val="false"/>
                <w:bCs w:val="false"/>
                <w:color w:val="000000"/>
                <w:sz w:val="20"/>
                <w:szCs w:val="20"/>
              </w:rPr>
              <w:t xml:space="preserve">Valeur définie dans la configuration du provider (champ distinct de "Groupe concerné").</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Date de création</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Date et heure de l'opération.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Date d'expiration</w:t>
            </w:r>
          </w:p>
        </w:tc>
        <w:tc>
          <w:tcPr>
            <w:tcW w:type="dxa" w:w="6150"/>
            <w:tcMar>
              <w:top w:type="dxa" w:w="80"/>
              <w:left w:type="dxa" w:w="100"/>
              <w:bottom w:type="dxa" w:w="80"/>
              <w:right w:type="dxa" w:w="100"/>
            </w:tcMar>
            <w:vAlign w:val="center"/>
          </w:tcPr>
          <w:p>
            <w:r>
              <w:rPr>
                <w:b w:val="false"/>
                <w:bCs w:val="false"/>
                <w:color w:val="000000"/>
                <w:sz w:val="20"/>
                <w:szCs w:val="20"/>
              </w:rPr>
              <w:t xml:space="preserve">Aucune (vide).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Autres</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Vide.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Lieu</w:t>
            </w:r>
          </w:p>
        </w:tc>
        <w:tc>
          <w:tcPr>
            <w:tcW w:type="dxa" w:w="6150"/>
            <w:tcMar>
              <w:top w:type="dxa" w:w="80"/>
              <w:left w:type="dxa" w:w="100"/>
              <w:bottom w:type="dxa" w:w="80"/>
              <w:right w:type="dxa" w:w="100"/>
            </w:tcMar>
            <w:vAlign w:val="center"/>
          </w:tcPr>
          <w:p>
            <w:r>
              <w:rPr>
                <w:b w:val="false"/>
                <w:bCs w:val="false"/>
                <w:color w:val="000000"/>
                <w:sz w:val="20"/>
                <w:szCs w:val="20"/>
              </w:rPr>
              <w:t xml:space="preserve">Vide.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Commentaires</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Vide.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Associable à un ticket</w:t>
            </w:r>
          </w:p>
        </w:tc>
        <w:tc>
          <w:tcPr>
            <w:tcW w:type="dxa" w:w="6150"/>
            <w:tcMar>
              <w:top w:type="dxa" w:w="80"/>
              <w:left w:type="dxa" w:w="100"/>
              <w:bottom w:type="dxa" w:w="80"/>
              <w:right w:type="dxa" w:w="100"/>
            </w:tcMar>
            <w:vAlign w:val="center"/>
          </w:tcPr>
          <w:p>
            <w:r>
              <w:rPr>
                <w:b w:val="false"/>
                <w:bCs w:val="false"/>
                <w:color w:val="000000"/>
                <w:sz w:val="20"/>
                <w:szCs w:val="20"/>
              </w:rPr>
              <w:t xml:space="preserve">Valeur définie dans la configuration du provider.</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Élément(s) rattaché(s)</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Association itemtype/items_id conforme aux règles de rattachement déjà définies (sections 3.1, 3.2, 3.3) : équipement GLPI, espace de stockage BackupGestion, ou compte provider selon le cas.</w:t>
            </w:r>
          </w:p>
        </w:tc>
      </w:tr>
    </w:tbl>
    <w:p>
      <w:pPr>
        <w:spacing w:after="160"/>
      </w:pPr>
      <w:r>
        <w:t xml:space="preserve">Ce pré-remplissage suppose une zone de configuration dédiée dans la fiche provider ("Valeurs par défaut Accounts"), regroupant : l'empreinte à utiliser, le mapping des 3 types de compte logiques vers les accounttypes réels de l'instance GLPI, l'accountstate par défaut, l'utilisateur concerné et le technicien responsable par défaut (deux valeurs distinctes), le groupe concerné et le groupe responsable par défaut (deux valeurs distinctes), et si les comptes créés sont associables à un ticket.</w:t>
      </w:r>
    </w:p>
    <w:p>
      <w:pPr>
        <w:spacing w:after="160"/>
      </w:pPr>
      <w:r>
        <w:rPr>
          <w:i/>
          <w:iCs/>
          <w:color w:val="595959"/>
        </w:rPr>
        <w:t xml:space="preserve">Note de vocabulaire : les champs "Empreinte" et "Clé de chiffrement" ci-dessus sont des champs natifs de la fiche Accounts, propres au mécanisme de chiffrement interne d'Accounts pour les secrets de catégorie (b). Ils sont indépendants du mécanisme de dérivation de clé locale décrit en 4.4 quater, qui ne concerne que la catégorie (a) et n'implique jamais Accounts.</w:t>
      </w:r>
    </w:p>
    <w:p>
      <w:pPr>
        <w:pStyle w:val="Heading3"/>
        <w:spacing w:after="100" w:before="200"/>
      </w:pPr>
      <w:r>
        <w:t xml:space="preserve">4.4 ter — Cache de session de la clé de déchiffrement Accounts (catégorie b)</w:t>
      </w:r>
    </w:p>
    <w:p>
      <w:pPr>
        <w:spacing w:after="160"/>
      </w:pPr>
      <w:r>
        <w:t xml:space="preserve">Pour éviter de redemander la clé de déchiffrement Accounts à chaque opération de même nature (ex : création de plusieurs espaces de stockage à la suite), elle est mise en cache le temps d'une session de travail :</w:t>
      </w:r>
    </w:p>
    <w:p>
      <w:pPr>
        <w:pStyle w:val="ListParagraph"/>
        <w:numPr>
          <w:ilvl w:val="0"/>
          <w:numId w:val="1"/>
        </w:numPr>
        <w:spacing w:after="80"/>
      </w:pPr>
      <w:r>
        <w:t xml:space="preserve">Conservée uniquement en session PHP ($_SESSION), jamais en base ni sur disque — cohérent avec la contrainte "jamais de cache persistant en clair" (section 3.3).</w:t>
      </w:r>
    </w:p>
    <w:p>
      <w:pPr>
        <w:pStyle w:val="ListParagraph"/>
        <w:numPr>
          <w:ilvl w:val="0"/>
          <w:numId w:val="1"/>
        </w:numPr>
        <w:spacing w:after="80"/>
      </w:pPr>
      <w:r>
        <w:t xml:space="preserve">Durée de vie configurable (timeout), par défaut proposé à 15 minutes, remise à zéro à chaque utilisation ; paramétrable dans la configuration du provider.</w:t>
      </w:r>
    </w:p>
    <w:p>
      <w:pPr>
        <w:pStyle w:val="ListParagraph"/>
        <w:numPr>
          <w:ilvl w:val="0"/>
          <w:numId w:val="1"/>
        </w:numPr>
        <w:spacing w:after="80"/>
      </w:pPr>
      <w:r>
        <w:t xml:space="preserve">Invalidée à la déconnexion de l'utilisateur GLPI, à l'expiration du timeout, ou manuellement (bouton "oublier la clé").</w:t>
      </w:r>
    </w:p>
    <w:p>
      <w:pPr>
        <w:pStyle w:val="ListParagraph"/>
        <w:numPr>
          <w:ilvl w:val="0"/>
          <w:numId w:val="1"/>
        </w:numPr>
        <w:spacing w:after="80"/>
      </w:pPr>
      <w:r>
        <w:t xml:space="preserve">Toute opération nécessitant la clé au-delà de ce délai déclenche une nouvelle demande/validation.</w:t>
      </w:r>
    </w:p>
    <w:p>
      <w:pPr>
        <w:pStyle w:val="ListParagraph"/>
        <w:numPr>
          <w:ilvl w:val="0"/>
          <w:numId w:val="1"/>
        </w:numPr>
        <w:spacing w:after="80"/>
      </w:pPr>
      <w:r>
        <w:t xml:space="preserve">Ce cache concerne exclusivement la catégorie (b), stockée dans Accounts. La catégorie (a) (identifiants API) n'en a pas besoin : sa clé se recalcule localement à chaque usage (4.4 quater), sans coût ni dépendance à une session.</w:t>
      </w:r>
    </w:p>
    <w:p>
      <w:pPr>
        <w:pStyle w:val="Heading3"/>
        <w:spacing w:after="100" w:before="200"/>
      </w:pPr>
      <w:r>
        <w:t xml:space="preserve">4.4 quater — Dérivation locale de la clé protégeant les identifiants API (catégorie a)</w:t>
      </w:r>
    </w:p>
    <w:p>
      <w:pPr>
        <w:spacing w:after="160"/>
      </w:pPr>
      <w:r>
        <w:rPr>
          <w:b/>
          <w:bCs/>
        </w:rPr>
        <w:t xml:space="preserve">Clarifié avec Luc : </w:t>
      </w:r>
      <w:r>
        <w:t xml:space="preserve">la tâche automatisée de détection (4.7) et, plus largement, toute opération portant sur les identifiants API (catégorie a) ne doivent faire appel à aucun compte Accounts — seule l'API Acronis est utilisée, avec des identifiants chiffrés localement. La clé de chiffrement de cette catégorie (a) n'est donc stockée nulle part, ni localement ni dans Accounts : elle est recalculée à la volée, de façon entièrement autonome, à chaque opération de chiffrement/déchiffrement.</w:t>
      </w:r>
    </w:p>
    <w:p>
      <w:pPr>
        <w:pStyle w:val="ListParagraph"/>
        <w:numPr>
          <w:ilvl w:val="0"/>
          <w:numId w:val="1"/>
        </w:numPr>
        <w:spacing w:after="80"/>
      </w:pPr>
      <w:r>
        <w:rPr>
          <w:b/>
          <w:bCs/>
        </w:rPr>
        <w:t xml:space="preserve">Génération — </w:t>
      </w:r>
      <w:r>
        <w:t xml:space="preserve">à la création d'un compte provider, un sel aléatoire (key_salt, ex. 32 octets via random_bytes) est généré et stocké en clair sur la fiche provider — un sel n'est pas un secret, il garantit simplement que deux providers avec des données par ailleurs identiques ne produisent jamais la même clé.</w:t>
      </w:r>
    </w:p>
    <w:p>
      <w:pPr>
        <w:pStyle w:val="ListParagraph"/>
        <w:numPr>
          <w:ilvl w:val="0"/>
          <w:numId w:val="1"/>
        </w:numPr>
        <w:spacing w:after="80"/>
      </w:pPr>
      <w:r>
        <w:rPr>
          <w:b/>
          <w:bCs/>
        </w:rPr>
        <w:t xml:space="preserve">Dérivation — </w:t>
      </w:r>
      <w:r>
        <w:t xml:space="preserve">clé AES-256 = HKDF-SHA256(IKM = keyowner_name + keyowner_email + entity_name_snapshot [3 colonnes figées sur le provider, jamais relues depuis glpi_users/glpi_entities], salt = key_salt, info = providers_id [séparation de contexte]). Algorithme retenu : HKDF-SHA256 (RFC 5869) plutôt que PBKDF2 — l'entropie vient déjà du sel aléatoire (256 bits), pas d'un secret humain à protéger du brute-force ; HKDF est plus rapide et son paramètre "info" lie proprement la clé au provider concerné. Implémentation native PHP via hash_hkdf(), sans dépendance externe.</w:t>
      </w:r>
    </w:p>
    <w:p>
      <w:pPr>
        <w:pStyle w:val="ListParagraph"/>
        <w:numPr>
          <w:ilvl w:val="0"/>
          <w:numId w:val="1"/>
        </w:numPr>
        <w:spacing w:after="80"/>
      </w:pPr>
      <w:r>
        <w:rPr>
          <w:b/>
          <w:bCs/>
        </w:rPr>
        <w:t xml:space="preserve">Autonomie totale — </w:t>
      </w:r>
      <w:r>
        <w:t xml:space="preserve">tous les ingrédients de la dérivation (entité, snapshot utilisateur, sel) sont disponibles localement, sans session utilisateur active ni appel à Accounts : la tâche périodique (4.7) peut donc déchiffrer/chiffrer les identifiants API de façon fiable, même sans utilisateur connecté.</w:t>
      </w:r>
    </w:p>
    <w:p>
      <w:pPr>
        <w:pStyle w:val="ListParagraph"/>
        <w:numPr>
          <w:ilvl w:val="0"/>
          <w:numId w:val="1"/>
        </w:numPr>
        <w:spacing w:after="80"/>
      </w:pPr>
      <w:r>
        <w:rPr>
          <w:b/>
          <w:bCs/>
        </w:rPr>
        <w:t xml:space="preserve">Snapshot plutôt que lecture live — </w:t>
      </w:r>
      <w:r>
        <w:t xml:space="preserve">le nom et l'e-mail de l'utilisateur référent, ainsi que le nom complet de l'entité, sont figés sur la fiche provider au moment de la génération, plutôt que relus depuis glpi_users/glpi_entities à chaque usage : si un simple attribut change ensuite (renommage de l'utilisateur, changement d'e-mail, renommage de l'entité), la clé dérivée reste stable et les secrets existants restent déchiffrables — seule une réaffectation de la référence elle-même pose problème (point suivant).</w:t>
      </w:r>
    </w:p>
    <w:p>
      <w:pPr>
        <w:spacing w:after="160"/>
      </w:pPr>
      <w:r>
        <w:rPr>
          <w:b/>
          <w:bCs/>
        </w:rPr>
        <w:t xml:space="preserve">Vu juste par Luc : </w:t>
      </w:r>
      <w:r>
        <w:t xml:space="preserve">le figeage en snapshot ne protège que contre le changement d'un attribut (nom, e-mail) ; il ne protège pas contre un changement de la référence elle-même — un provider transféré vers une autre entité (entities_id modifié), ou un utilisateur référent réaffecté (users_id_keyowner modifié). Dans ces deux cas, un des ingrédients réels de la clé change, donc la clé dérivée change aussi : un re-chiffrement des identifiants API du provider est obligatoire au moment même du changement (déchiffrement avec l'ancienne clé, re-dérivation avec la nouvelle entité/le nouvel utilisateur référent, re-chiffrement). Si ce re-chiffrement échoue (ex. anomalie sur les valeurs source), le changement d'entité ou de référent est bloqué plutôt que de risquer une perte silencieuse des identifiants API.</w:t>
      </w:r>
    </w:p>
    <w:p>
      <w:pPr>
        <w:spacing w:after="160"/>
      </w:pPr>
      <w:r>
        <w:rPr>
          <w:i/>
          <w:iCs/>
          <w:color w:val="595959"/>
        </w:rPr>
        <w:t xml:space="preserve">Ce n'est pas une improvisation : c'est exactement le mécanisme que le plugin Accounts applique déjà lui-même en interne lors d'un transfert d'entité d'un compte (vérifié par lecture de son code source, fournie par Luc : Account::processMassiveActionsForOneItemtype(), cas "transfer" — déchiffrement du mot de passe avec la clé de chiffrement de l'entité source, puis re-chiffrement avec celle de l'entité de destination, avec effacement explicite et message d'avertissement si aucune clé n'est trouvée côté destination plutôt qu'un mot de passe orphelin). BackupGestion reprend donc, pour la catégorie (a), un principe déjà validé et en production dans l'écosystème GLPI/Accounts — bonne nouvelle : pas besoin d'inventer un mécanisme nouveau, seulement de l'appliquer côté Provider/credentials.</w:t>
      </w:r>
    </w:p>
    <w:p>
      <w:pPr>
        <w:spacing w:after="160"/>
      </w:pPr>
      <w:r>
        <w:rPr>
          <w:b/>
          <w:bCs/>
        </w:rPr>
        <w:t xml:space="preserve">Utilisateur référent par défaut : </w:t>
      </w:r>
      <w:r>
        <w:t xml:space="preserve">le créateur de la fiche provider (utilisateur GLPI connecté au moment de la création), avec un champ dédié permettant de le changer explicitement ensuite — un changement déclenche alors le re-chiffrement décrit ci-dessus, exactement comme un changement d'entité.</w:t>
      </w:r>
    </w:p>
    <w:p>
      <w:pPr>
        <w:pStyle w:val="Heading3"/>
        <w:spacing w:after="100" w:before="200"/>
      </w:pPr>
      <w:r>
        <w:t xml:space="preserve">4.5 Intégration aux équipements GLPI</w:t>
      </w:r>
    </w:p>
    <w:p>
      <w:pPr>
        <w:pStyle w:val="ListParagraph"/>
        <w:numPr>
          <w:ilvl w:val="0"/>
          <w:numId w:val="1"/>
        </w:numPr>
        <w:spacing w:after="80"/>
      </w:pPr>
      <w:r>
        <w:rPr>
          <w:b/>
          <w:bCs/>
        </w:rPr>
        <w:t xml:space="preserve">Algorithme de correspondance (Matcher) — </w:t>
      </w:r>
      <w:r>
        <w:t xml:space="preserve">nom d'hôte, IP, MAC, numéro de série. Exécuté par la tâche périodique de détection (4.7), qui compare la liste des appareils renvoyée en direct par l'API à glpi_plugin_backupgestion_device_links : seul le résultat du rattachement (provider_ref ↔ items_id, match_status) est persisté, jamais les données descriptives de l'appareil.</w:t>
      </w:r>
    </w:p>
    <w:p>
      <w:pPr>
        <w:pStyle w:val="ListParagraph"/>
        <w:numPr>
          <w:ilvl w:val="0"/>
          <w:numId w:val="1"/>
        </w:numPr>
        <w:spacing w:after="80"/>
      </w:pPr>
      <w:r>
        <w:t xml:space="preserve">Écran de mapping manuel (sur le modèle de domain.import.php) : liste des candidats détectés par la dernière exécution de la tâche périodique, association ou ignorance.</w:t>
      </w:r>
    </w:p>
    <w:p>
      <w:pPr>
        <w:pStyle w:val="ListParagraph"/>
        <w:numPr>
          <w:ilvl w:val="0"/>
          <w:numId w:val="1"/>
        </w:numPr>
        <w:spacing w:after="80"/>
      </w:pPr>
      <w:r>
        <w:rPr>
          <w:b/>
          <w:bCs/>
        </w:rPr>
        <w:t xml:space="preserve">Onglet "Sauvegarde" </w:t>
      </w:r>
      <w:r>
        <w:t xml:space="preserve">ajouté sur la fiche équipement (getTabNameForItem) : si un rattachement existe dans glpi_plugin_backupgestion_device_links, l'onglet appelle l'API en direct avec le provider_ref connu pour afficher en temps réel le statut de protection, le dernier backup, le plan associé, un lien vers l'espace de stockage, et un lien vers le compte technique Accounts de l'appareil (section 3.3(b)) s'il existe — inspiré du bloc "Informations de synchronisation DNS" injecté par plugin_dnsmanager_post_item_form, mais sans données mises en cache localement au-delà de la session GLPI en cours.</w:t>
      </w:r>
    </w:p>
    <w:p>
      <w:pPr>
        <w:pStyle w:val="ListParagraph"/>
        <w:numPr>
          <w:ilvl w:val="0"/>
          <w:numId w:val="1"/>
        </w:numPr>
        <w:spacing w:after="80"/>
      </w:pPr>
      <w:r>
        <w:t xml:space="preserve">Fiche espace de stockage : sélecteur d'équipement GLPI cible, avec suggestion automatique si nom correspondant.</w:t>
      </w:r>
    </w:p>
    <w:p>
      <w:pPr>
        <w:pStyle w:val="Heading3"/>
        <w:spacing w:after="100" w:before="200"/>
      </w:pPr>
      <w:r>
        <w:t xml:space="preserve">4.6 Menu, droits, interface</w:t>
      </w:r>
    </w:p>
    <w:p>
      <w:pPr>
        <w:pStyle w:val="ListParagraph"/>
        <w:numPr>
          <w:ilvl w:val="0"/>
          <w:numId w:val="1"/>
        </w:numPr>
        <w:spacing w:after="80"/>
      </w:pPr>
      <w:r>
        <w:t xml:space="preserve">Menu "Outils" &gt; "Sauvegardes" (liste des comptes provider, journal de détection).</w:t>
      </w:r>
    </w:p>
    <w:p>
      <w:pPr>
        <w:spacing w:after="160"/>
      </w:pPr>
      <w:r>
        <w:rPr>
          <w:b/>
          <w:bCs/>
        </w:rPr>
        <w:t xml:space="preserve">Droits dédiés — </w:t>
      </w:r>
      <w:r>
        <w:t xml:space="preserve">cinq droits indépendants (chaque droit est un simple bit combinable dans n'importe quel profil GLPI par l'administrateur, ce n'est pas le plugin qui impose des "profils" figés)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Droit (technique)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Libellé</w:t>
            </w:r>
          </w:p>
        </w:tc>
        <w:tc>
          <w:tcPr>
            <w:tcW w:type="dxa" w:w="3750"/>
            <w:shd w:fill="1F3864" w:val="clear"/>
            <w:tcMar>
              <w:top w:type="dxa" w:w="80"/>
              <w:left w:type="dxa" w:w="100"/>
              <w:bottom w:type="dxa" w:w="80"/>
              <w:right w:type="dxa" w:w="100"/>
            </w:tcMar>
            <w:vAlign w:val="center"/>
          </w:tcPr>
          <w:p>
            <w:r>
              <w:rPr>
                <w:b/>
                <w:bCs/>
                <w:color w:val="FFFFFF"/>
                <w:sz w:val="20"/>
                <w:szCs w:val="20"/>
              </w:rPr>
              <w:t xml:space="preserve">Portée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plugin_backupgestion_admin</w:t>
            </w:r>
          </w:p>
        </w:tc>
        <w:tc>
          <w:tcPr>
            <w:tcW w:type="dxa" w:w="2400"/>
            <w:tcMar>
              <w:top w:type="dxa" w:w="80"/>
              <w:left w:type="dxa" w:w="100"/>
              <w:bottom w:type="dxa" w:w="80"/>
              <w:right w:type="dxa" w:w="100"/>
            </w:tcMar>
            <w:vAlign w:val="center"/>
          </w:tcPr>
          <w:p>
            <w:r>
              <w:rPr>
                <w:b w:val="false"/>
                <w:bCs w:val="false"/>
                <w:color w:val="000000"/>
                <w:sz w:val="20"/>
                <w:szCs w:val="20"/>
              </w:rPr>
              <w:t xml:space="preserve">Administration</w:t>
            </w:r>
          </w:p>
        </w:tc>
        <w:tc>
          <w:tcPr>
            <w:tcW w:type="dxa" w:w="3750"/>
            <w:tcMar>
              <w:top w:type="dxa" w:w="80"/>
              <w:left w:type="dxa" w:w="100"/>
              <w:bottom w:type="dxa" w:w="80"/>
              <w:right w:type="dxa" w:w="100"/>
            </w:tcMar>
            <w:vAlign w:val="center"/>
          </w:tcPr>
          <w:p>
            <w:r>
              <w:rPr>
                <w:b w:val="false"/>
                <w:bCs w:val="false"/>
                <w:color w:val="000000"/>
                <w:sz w:val="20"/>
                <w:szCs w:val="20"/>
              </w:rPr>
              <w:t xml:space="preserve">Tout : configuration globale, création/suppression de providers, gestion des droits.</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plugin_backupgestion_provider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Provider</w:t>
            </w:r>
          </w:p>
        </w:tc>
        <w:tc>
          <w:tcPr>
            <w:tcW w:type="dxa" w:w="3750"/>
            <w:shd w:fill="F2F2F2" w:val="clear"/>
            <w:tcMar>
              <w:top w:type="dxa" w:w="80"/>
              <w:left w:type="dxa" w:w="100"/>
              <w:bottom w:type="dxa" w:w="80"/>
              <w:right w:type="dxa" w:w="100"/>
            </w:tcMar>
            <w:vAlign w:val="center"/>
          </w:tcPr>
          <w:p>
            <w:r>
              <w:rPr>
                <w:b w:val="false"/>
                <w:bCs w:val="false"/>
                <w:color w:val="000000"/>
                <w:sz w:val="20"/>
                <w:szCs w:val="20"/>
              </w:rPr>
              <w:t xml:space="preserve">Création de comptes provider (rattachement d'un nouveau tenant).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plugin_backupgestion_financial</w:t>
            </w:r>
          </w:p>
        </w:tc>
        <w:tc>
          <w:tcPr>
            <w:tcW w:type="dxa" w:w="2400"/>
            <w:tcMar>
              <w:top w:type="dxa" w:w="80"/>
              <w:left w:type="dxa" w:w="100"/>
              <w:bottom w:type="dxa" w:w="80"/>
              <w:right w:type="dxa" w:w="100"/>
            </w:tcMar>
            <w:vAlign w:val="center"/>
          </w:tcPr>
          <w:p>
            <w:r>
              <w:rPr>
                <w:b w:val="false"/>
                <w:bCs w:val="false"/>
                <w:color w:val="000000"/>
                <w:sz w:val="20"/>
                <w:szCs w:val="20"/>
              </w:rPr>
              <w:t xml:space="preserve">Financier</w:t>
            </w:r>
          </w:p>
        </w:tc>
        <w:tc>
          <w:tcPr>
            <w:tcW w:type="dxa" w:w="3750"/>
            <w:tcMar>
              <w:top w:type="dxa" w:w="80"/>
              <w:left w:type="dxa" w:w="100"/>
              <w:bottom w:type="dxa" w:w="80"/>
              <w:right w:type="dxa" w:w="100"/>
            </w:tcMar>
            <w:vAlign w:val="center"/>
          </w:tcPr>
          <w:p>
            <w:r>
              <w:rPr>
                <w:b w:val="false"/>
                <w:bCs w:val="false"/>
                <w:color w:val="000000"/>
                <w:sz w:val="20"/>
                <w:szCs w:val="20"/>
              </w:rPr>
              <w:t xml:space="preserve">Lecture seule de la configuration (volumétrie, coûts éventuels) — pas d'action de gestion.</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plugin_backupgestion_tenant_admin</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Administration technique</w:t>
            </w:r>
          </w:p>
        </w:tc>
        <w:tc>
          <w:tcPr>
            <w:tcW w:type="dxa" w:w="3750"/>
            <w:shd w:fill="F2F2F2" w:val="clear"/>
            <w:tcMar>
              <w:top w:type="dxa" w:w="80"/>
              <w:left w:type="dxa" w:w="100"/>
              <w:bottom w:type="dxa" w:w="80"/>
              <w:right w:type="dxa" w:w="100"/>
            </w:tcMar>
            <w:vAlign w:val="center"/>
          </w:tcPr>
          <w:p>
            <w:r>
              <w:rPr>
                <w:b w:val="false"/>
                <w:bCs w:val="false"/>
                <w:color w:val="000000"/>
                <w:sz w:val="20"/>
                <w:szCs w:val="20"/>
              </w:rPr>
              <w:t xml:space="preserve">Gestion complète d'un tenant : plans, espaces de stockage, appareils, credentials.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plugin_backupgestion_technician</w:t>
            </w:r>
          </w:p>
        </w:tc>
        <w:tc>
          <w:tcPr>
            <w:tcW w:type="dxa" w:w="2400"/>
            <w:tcMar>
              <w:top w:type="dxa" w:w="80"/>
              <w:left w:type="dxa" w:w="100"/>
              <w:bottom w:type="dxa" w:w="80"/>
              <w:right w:type="dxa" w:w="100"/>
            </w:tcMar>
            <w:vAlign w:val="center"/>
          </w:tcPr>
          <w:p>
            <w:r>
              <w:rPr>
                <w:b w:val="false"/>
                <w:bCs w:val="false"/>
                <w:color w:val="000000"/>
                <w:sz w:val="20"/>
                <w:szCs w:val="20"/>
              </w:rPr>
              <w:t xml:space="preserve">Technicien</w:t>
            </w:r>
          </w:p>
        </w:tc>
        <w:tc>
          <w:tcPr>
            <w:tcW w:type="dxa" w:w="3750"/>
            <w:tcMar>
              <w:top w:type="dxa" w:w="80"/>
              <w:left w:type="dxa" w:w="100"/>
              <w:bottom w:type="dxa" w:w="80"/>
              <w:right w:type="dxa" w:w="100"/>
            </w:tcMar>
            <w:vAlign w:val="center"/>
          </w:tcPr>
          <w:p>
            <w:r>
              <w:rPr>
                <w:b w:val="false"/>
                <w:bCs w:val="false"/>
                <w:color w:val="000000"/>
                <w:sz w:val="20"/>
                <w:szCs w:val="20"/>
              </w:rPr>
              <w:t xml:space="preserve">Gestion des plans de sauvegarde et des espaces de stockage, sans les droits d'administration du tenant.</w:t>
            </w:r>
          </w:p>
        </w:tc>
      </w:tr>
    </w:tbl>
    <w:p>
      <w:pPr>
        <w:pStyle w:val="ListParagraph"/>
        <w:numPr>
          <w:ilvl w:val="0"/>
          <w:numId w:val="1"/>
        </w:numPr>
        <w:spacing w:after="80"/>
      </w:pPr>
      <w:r>
        <w:t xml:space="preserve">Formulaires en Twig (generic_show_form.html.twig + fields_macros), cohérents avec les standards GLPI 11.</w:t>
      </w:r>
    </w:p>
    <w:p>
      <w:pPr>
        <w:pStyle w:val="ListParagraph"/>
        <w:numPr>
          <w:ilvl w:val="0"/>
          <w:numId w:val="1"/>
        </w:numPr>
        <w:spacing w:after="80"/>
      </w:pPr>
      <w:r>
        <w:t xml:space="preserve">SearchOptions GLPI standard (rawSearchOptions) sur les itemtypes réellement persistés : Provider, StorageSpace. Device et BackupPlan n'ayant plus de mirroir local (décision 2.1), leurs listes sont affichées en tableau de bord simple (appel API en direct à chaque affichage), sans moteur de recherche natif GLPI ni actions massives sur ces vues.</w:t>
      </w:r>
    </w:p>
    <w:p>
      <w:pPr>
        <w:pStyle w:val="ListParagraph"/>
        <w:numPr>
          <w:ilvl w:val="0"/>
          <w:numId w:val="1"/>
        </w:numPr>
        <w:spacing w:after="80"/>
      </w:pPr>
      <w:r>
        <w:t xml:space="preserve">Vue de synthèse : nombre de providers actifs, volume total (live), nombre d'appareils protégés / non rattachés, dernières erreurs de la tâche de détection.</w:t>
      </w:r>
    </w:p>
    <w:p>
      <w:pPr>
        <w:pStyle w:val="Heading3"/>
        <w:spacing w:after="100" w:before="200"/>
      </w:pPr>
      <w:r>
        <w:t xml:space="preserve">4.7 Détection périodique des rattachements (et non plus "synchronisation")</w:t>
      </w:r>
    </w:p>
    <w:p>
      <w:pPr>
        <w:spacing w:after="160"/>
      </w:pPr>
      <w:r>
        <w:t xml:space="preserve">Suite à la décision d'architecture (2.1), ce n'est plus une synchronisation générale des données Acronis : c'est le SEUL traitement de fond du plugin, et il a un objectif unique — détecter les appareils et espaces de stockage Acronis natifs qui n'ont pas encore de rattachement GLPI, pour peupler l'écran de mapping manuel (4.5). Toutes les autres données (plans, statistiques, détail des appareils déjà rattachés) restent en pur live query, sans tâche de fond.</w:t>
      </w:r>
    </w:p>
    <w:p>
      <w:pPr>
        <w:pStyle w:val="ListParagraph"/>
        <w:numPr>
          <w:ilvl w:val="0"/>
          <w:numId w:val="1"/>
        </w:numPr>
        <w:spacing w:after="80"/>
      </w:pPr>
      <w:r>
        <w:rPr>
          <w:b/>
          <w:bCs/>
        </w:rPr>
        <w:t xml:space="preserve">Déclenchement — </w:t>
      </w:r>
      <w:r>
        <w:t xml:space="preserve">tâche CRON GLPI (CronTask::register), fréquence configurable (proposition : horaire), plus un déclenchement manuel depuis la fiche provider (bouton dédié) pour ne pas dépendre uniquement du cron.</w:t>
      </w:r>
    </w:p>
    <w:p>
      <w:pPr>
        <w:pStyle w:val="ListParagraph"/>
        <w:numPr>
          <w:ilvl w:val="0"/>
          <w:numId w:val="1"/>
        </w:numPr>
        <w:spacing w:after="80"/>
      </w:pPr>
      <w:r>
        <w:rPr>
          <w:b/>
          <w:bCs/>
        </w:rPr>
        <w:t xml:space="preserve">Ce qu'elle fait — </w:t>
      </w:r>
      <w:r>
        <w:t xml:space="preserve">appel API en direct pour lister les appareils/stockages du tenant, comparaison avec glpi_plugin_backupgestion_device_links (et les espaces de stockage Acronis natifs déjà connus), exécution du Matcher (4.5) sur les nouveaux éléments, écriture du résultat (rattachement automatique ou mise en attente pour mapping manuel).</w:t>
      </w:r>
    </w:p>
    <w:p>
      <w:pPr>
        <w:pStyle w:val="ListParagraph"/>
        <w:numPr>
          <w:ilvl w:val="0"/>
          <w:numId w:val="1"/>
        </w:numPr>
        <w:spacing w:after="80"/>
      </w:pPr>
      <w:r>
        <w:t xml:space="preserve">glpi_plugin_backupgestion_discovery_logs : historique par exécution (éléments détectés, rattachements automatiques, erreurs), consultable dans le plugin — journal dédié à cette tâche, à périmètre volontairement restreint.</w:t>
      </w:r>
    </w:p>
    <w:p>
      <w:pPr>
        <w:pStyle w:val="ListParagraph"/>
        <w:numPr>
          <w:ilvl w:val="0"/>
          <w:numId w:val="1"/>
        </w:numPr>
        <w:spacing w:after="80"/>
      </w:pPr>
      <w:r>
        <w:t xml:space="preserve">Gestion prudente des échecs partiels : un échec ponctuel sur une ressource ne doit jamais entraîner la suppression erronée d'un rattachement déjà connu.</w:t>
      </w:r>
    </w:p>
    <w:p>
      <w:pPr>
        <w:spacing w:after="160"/>
      </w:pPr>
      <w:r>
        <w:rPr>
          <w:b/>
          <w:bCs/>
        </w:rPr>
        <w:t xml:space="preserve">Résolu (clarifié avec Luc) : </w:t>
      </w:r>
      <w:r>
        <w:t xml:space="preserve">cette tâche automatisée ne fait appel à AUCUN compte Accounts — elle n'utilise que l'API Acronis, dont les identifiants (catégorie a) sont chiffrés localement dans le plugin avec une clé dérivée localement (entité + utilisateur référent + sel, voir 4.4 quater), jamais stockée dans Accounts. Elle ne touche donc jamais aux comptes Accounts "métier" (admin compte client, ressources de stockage, etc.), et reste pleinement fonctionnelle même si Accounts est désactivé ou absent.</w:t>
      </w:r>
    </w:p>
    <w:p>
      <w:pPr>
        <w:pStyle w:val="Heading2"/>
        <w:spacing w:after="150" w:before="300"/>
      </w:pPr>
      <w:r>
        <w:t xml:space="preserve">5. Exigences non fonctionnelles</w:t>
      </w:r>
    </w:p>
    <w:p>
      <w:pPr>
        <w:pStyle w:val="ListParagraph"/>
        <w:numPr>
          <w:ilvl w:val="0"/>
          <w:numId w:val="1"/>
        </w:numPr>
        <w:spacing w:after="80"/>
      </w:pPr>
      <w:r>
        <w:t xml:space="preserve">Compatibilité GLPI 11.0.x → &lt;12.0, PHP 8.1+.</w:t>
      </w:r>
    </w:p>
    <w:p>
      <w:pPr>
        <w:pStyle w:val="ListParagraph"/>
        <w:numPr>
          <w:ilvl w:val="0"/>
          <w:numId w:val="1"/>
        </w:numPr>
        <w:spacing w:after="80"/>
      </w:pPr>
      <w:r>
        <w:t xml:space="preserve">CSRF compliant, respect strict des droits GLPI (Session::checkRight à chaque point d'entrée).</w:t>
      </w:r>
    </w:p>
    <w:p>
      <w:pPr>
        <w:pStyle w:val="ListParagraph"/>
        <w:numPr>
          <w:ilvl w:val="0"/>
          <w:numId w:val="1"/>
        </w:numPr>
        <w:spacing w:after="80"/>
      </w:pPr>
      <w:r>
        <w:t xml:space="preserve">Internationalisation complète (fichiers locales, fonctions __()).</w:t>
      </w:r>
    </w:p>
    <w:p>
      <w:pPr>
        <w:pStyle w:val="ListParagraph"/>
        <w:numPr>
          <w:ilvl w:val="0"/>
          <w:numId w:val="1"/>
        </w:numPr>
        <w:spacing w:after="80"/>
      </w:pPr>
      <w:r>
        <w:t xml:space="preserve">Aucune donnée sensible (secret, token) dans les logs applicatifs.</w:t>
      </w:r>
    </w:p>
    <w:p>
      <w:pPr>
        <w:pStyle w:val="ListParagraph"/>
        <w:numPr>
          <w:ilvl w:val="0"/>
          <w:numId w:val="1"/>
        </w:numPr>
        <w:spacing w:after="80"/>
      </w:pPr>
      <w:r>
        <w:t xml:space="preserve">Tolérance aux erreurs API (timeout, rate limiting) sans interruption de la synchro globale.</w:t>
      </w:r>
    </w:p>
    <w:p>
      <w:pPr>
        <w:pStyle w:val="ListParagraph"/>
        <w:numPr>
          <w:ilvl w:val="0"/>
          <w:numId w:val="1"/>
        </w:numPr>
        <w:spacing w:after="80"/>
      </w:pPr>
      <w:r>
        <w:t xml:space="preserve">Performance : les pages en live query doivent rester réactives malgré l'appel API synchrone (cache technique court, quelques minutes, pour absorber les rechargements rapprochés) ; la tâche périodique de détection (4.7) doit rester paginée pour traiter des tenants avec un grand nombre d'appareils sans dépassement de temps d'exécution cron.</w:t>
      </w:r>
    </w:p>
    <w:p>
      <w:pPr>
        <w:pStyle w:val="Heading2"/>
        <w:spacing w:after="150" w:before="300"/>
      </w:pPr>
      <w:r>
        <w:t xml:space="preserve">6. Livrables Version 1</w:t>
      </w:r>
    </w:p>
    <w:p>
      <w:pPr>
        <w:pStyle w:val="ListParagraph"/>
        <w:numPr>
          <w:ilvl w:val="0"/>
          <w:numId w:val="1"/>
        </w:numPr>
        <w:spacing w:after="80"/>
      </w:pPr>
      <w:r>
        <w:t xml:space="preserve">Plugin BackupGestion fonctionnel, installable, versionné sur le repo GitHub "backupgestion".</w:t>
      </w:r>
    </w:p>
    <w:p>
      <w:pPr>
        <w:pStyle w:val="ListParagraph"/>
        <w:numPr>
          <w:ilvl w:val="0"/>
          <w:numId w:val="1"/>
        </w:numPr>
        <w:spacing w:after="80"/>
      </w:pPr>
      <w:r>
        <w:t xml:space="preserve">Documentation utilisateur (docs/user-guide.md).</w:t>
      </w:r>
    </w:p>
    <w:p>
      <w:pPr>
        <w:pStyle w:val="ListParagraph"/>
        <w:numPr>
          <w:ilvl w:val="0"/>
          <w:numId w:val="1"/>
        </w:numPr>
        <w:spacing w:after="80"/>
      </w:pPr>
      <w:r>
        <w:t xml:space="preserve">Documentation technique / architecture (docs/architecture.md).</w:t>
      </w:r>
    </w:p>
    <w:p>
      <w:pPr>
        <w:pStyle w:val="ListParagraph"/>
        <w:numPr>
          <w:ilvl w:val="0"/>
          <w:numId w:val="1"/>
        </w:numPr>
        <w:spacing w:after="80"/>
      </w:pPr>
      <w:r>
        <w:t xml:space="preserve">Jeu de tests unitaires + procédure de recette fonctionnelle (voir Partie 3).</w:t>
      </w:r>
    </w:p>
    <w:p>
      <w:pPr>
        <w:pStyle w:val="ListParagraph"/>
        <w:numPr>
          <w:ilvl w:val="0"/>
          <w:numId w:val="1"/>
        </w:numPr>
        <w:spacing w:after="80"/>
      </w:pPr>
      <w:r>
        <w:t xml:space="preserve">Ce cahier des charges, versionné dans docs/.</w:t>
      </w:r>
    </w:p>
    <w:p>
      <w:pPr>
        <w:pStyle w:val="Heading2"/>
        <w:spacing w:after="150" w:before="300"/>
      </w:pPr>
      <w:r>
        <w:t xml:space="preserve">7. Points ouverts à trancher avant / pendant le jalon 0</w:t>
      </w:r>
    </w:p>
    <w:p>
      <w:pPr>
        <w:spacing w:after="160"/>
      </w:pPr>
      <w:r>
        <w:rPr>
          <w:b/>
          <w:bCs/>
        </w:rPr>
        <w:t xml:space="preserve">Tous les points ouverts sont désormais tranchés </w:t>
      </w:r>
      <w:r>
        <w:t xml:space="preserve">(nommage "Provider" confirmé, catégories de comptes Accounts = simple mapping accounttype déjà couvert en 4.4 bis, droits détaillés en 4.6, timeout de session à 15 min confirmé, affichage de la hiérarchie des tenants décidé en 4.2 ter, groupes d'accès Accounts confirmés natifs, seuil du compteur d'échecs paramétrable par provider, mécanisme de clé locale et algorithme de dérivation [HKDF-SHA256] précisés en 4.4 quater, API Accounts confirmée par lecture du code source en 4.4, accès Acronis de test confirmé prêt par Luc). Le jalon 0 peut démarrer sans point bloquant restant.</w:t>
      </w:r>
    </w:p>
    <w:p>
      <w:r>
        <w:br w:type="page"/>
      </w:r>
    </w:p>
    <w:p>
      <w:pPr>
        <w:pStyle w:val="Heading1"/>
        <w:spacing w:after="200" w:before="400"/>
      </w:pPr>
      <w:r>
        <w:t xml:space="preserve">Partie 2 — Stratégie de développement</w:t>
      </w:r>
    </w:p>
    <w:p>
      <w:pPr>
        <w:pStyle w:val="Heading2"/>
        <w:spacing w:after="150" w:before="300"/>
      </w:pPr>
      <w:r>
        <w:t xml:space="preserve">1. Méthodologie</w:t>
      </w:r>
    </w:p>
    <w:p>
      <w:pPr>
        <w:pStyle w:val="ListParagraph"/>
        <w:numPr>
          <w:ilvl w:val="0"/>
          <w:numId w:val="1"/>
        </w:numPr>
        <w:spacing w:after="80"/>
      </w:pPr>
      <w:r>
        <w:t xml:space="preserve">Développement itératif par lots fonctionnels (jalons ci-dessous), chaque lot livrable et démontrable indépendamment.</w:t>
      </w:r>
    </w:p>
    <w:p>
      <w:pPr>
        <w:pStyle w:val="ListParagraph"/>
        <w:numPr>
          <w:ilvl w:val="0"/>
          <w:numId w:val="1"/>
        </w:numPr>
        <w:spacing w:after="80"/>
      </w:pPr>
      <w:r>
        <w:t xml:space="preserve">Repo GitHub "backupgestion" : branche main protégée (stable/déployable), branche develop d'intégration, branches feature/xxx par lot.</w:t>
      </w:r>
    </w:p>
    <w:p>
      <w:pPr>
        <w:pStyle w:val="ListParagraph"/>
        <w:numPr>
          <w:ilvl w:val="0"/>
          <w:numId w:val="1"/>
        </w:numPr>
        <w:spacing w:after="80"/>
      </w:pPr>
      <w:r>
        <w:t xml:space="preserve">Convention PSR-12, typage strict PHP 8.1 (declare(strict_types=1) recommandé), namespace GlpiPlugin\Backupgestion.</w:t>
      </w:r>
    </w:p>
    <w:p>
      <w:pPr>
        <w:pStyle w:val="ListParagraph"/>
        <w:numPr>
          <w:ilvl w:val="0"/>
          <w:numId w:val="1"/>
        </w:numPr>
        <w:spacing w:after="80"/>
      </w:pPr>
      <w:r>
        <w:t xml:space="preserve">Nommage des classes, structure des dossiers et style des hooks cohérents avec les standards GLPI 11 (voir référence de conception unique en 4.1).</w:t>
      </w:r>
    </w:p>
    <w:p>
      <w:pPr>
        <w:pStyle w:val="Heading2"/>
        <w:spacing w:after="150" w:before="300"/>
      </w:pPr>
      <w:r>
        <w:t xml:space="preserve">2. Accès et organisation du dépôt</w:t>
      </w:r>
    </w:p>
    <w:p>
      <w:pPr>
        <w:spacing w:after="160"/>
      </w:pPr>
      <w:r>
        <w:t xml:space="preserve">Le dossier local du dépôt "backupgestion" est déjà connecté à cette session de travail : lecture/écriture directe possible sur les fichiers du plugin. La gestion de git (add/commit/push vers GitHub) reste de ton côté, sauf si tu préfères déléguer certaines étapes plus tard (voir options d'accès évoquées en début de conversation).</w:t>
      </w:r>
    </w:p>
    <w:p>
      <w:pPr>
        <w:pStyle w:val="Heading2"/>
        <w:spacing w:after="150" w:before="300"/>
      </w:pPr>
      <w:r>
        <w:t xml:space="preserve">3. Jalons — Version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Jalon</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Durée indicative</w:t>
            </w:r>
          </w:p>
        </w:tc>
        <w:tc>
          <w:tcPr>
            <w:tcW w:type="dxa" w:w="5350"/>
            <w:shd w:fill="1F3864" w:val="clear"/>
            <w:tcMar>
              <w:top w:type="dxa" w:w="80"/>
              <w:left w:type="dxa" w:w="100"/>
              <w:bottom w:type="dxa" w:w="80"/>
              <w:right w:type="dxa" w:w="100"/>
            </w:tcMar>
            <w:vAlign w:val="center"/>
          </w:tcPr>
          <w:p>
            <w:r>
              <w:rPr>
                <w:b/>
                <w:bCs/>
                <w:color w:val="FFFFFF"/>
                <w:sz w:val="20"/>
                <w:szCs w:val="20"/>
              </w:rPr>
              <w:t xml:space="preserve">Contenu</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0 — Cadrage technique</w:t>
            </w:r>
          </w:p>
        </w:tc>
        <w:tc>
          <w:tcPr>
            <w:tcW w:type="dxa" w:w="1600"/>
            <w:tcMar>
              <w:top w:type="dxa" w:w="80"/>
              <w:left w:type="dxa" w:w="100"/>
              <w:bottom w:type="dxa" w:w="80"/>
              <w:right w:type="dxa" w:w="100"/>
            </w:tcMar>
            <w:vAlign w:val="center"/>
          </w:tcPr>
          <w:p>
            <w:r>
              <w:rPr>
                <w:b w:val="false"/>
                <w:bCs w:val="false"/>
                <w:color w:val="000000"/>
                <w:sz w:val="20"/>
                <w:szCs w:val="20"/>
              </w:rPr>
              <w:t xml:space="preserve">5-8 j</w:t>
            </w:r>
          </w:p>
        </w:tc>
        <w:tc>
          <w:tcPr>
            <w:tcW w:type="dxa" w:w="5350"/>
            <w:tcMar>
              <w:top w:type="dxa" w:w="80"/>
              <w:left w:type="dxa" w:w="100"/>
              <w:bottom w:type="dxa" w:w="80"/>
              <w:right w:type="dxa" w:w="100"/>
            </w:tcMar>
            <w:vAlign w:val="center"/>
          </w:tcPr>
          <w:p>
            <w:r>
              <w:rPr>
                <w:b w:val="false"/>
                <w:bCs w:val="false"/>
                <w:color w:val="000000"/>
                <w:sz w:val="20"/>
                <w:szCs w:val="20"/>
              </w:rPr>
              <w:t xml:space="preserve">PoC connexion API Acronis sur tenant de test, confirmation des endpoints (live query ressources/plans/stats, liste des tenants enfants), implémentation et test de la dérivation locale de clé HKDF-SHA256 (4.4 quater, déjà tranchée) — le reste du cadrage (API Accounts, algorithme, points ouverts) est déjà arbitré en amont (section 7).</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1 — Squelette plugin</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3-5 j</w:t>
            </w:r>
          </w:p>
        </w:tc>
        <w:tc>
          <w:tcPr>
            <w:tcW w:type="dxa" w:w="5350"/>
            <w:shd w:fill="F2F2F2" w:val="clear"/>
            <w:tcMar>
              <w:top w:type="dxa" w:w="80"/>
              <w:left w:type="dxa" w:w="100"/>
              <w:bottom w:type="dxa" w:w="80"/>
              <w:right w:type="dxa" w:w="100"/>
            </w:tcMar>
            <w:vAlign w:val="center"/>
          </w:tcPr>
          <w:p>
            <w:r>
              <w:rPr>
                <w:b w:val="false"/>
                <w:bCs w:val="false"/>
                <w:color w:val="000000"/>
                <w:sz w:val="20"/>
                <w:szCs w:val="20"/>
              </w:rPr>
              <w:t xml:space="preserve">setup.php / hook.php, install/uninstall, droits (Right), menu, CI de base (lint, build zip).</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2 — Comptes provider + Accounts</w:t>
            </w:r>
          </w:p>
        </w:tc>
        <w:tc>
          <w:tcPr>
            <w:tcW w:type="dxa" w:w="1600"/>
            <w:tcMar>
              <w:top w:type="dxa" w:w="80"/>
              <w:left w:type="dxa" w:w="100"/>
              <w:bottom w:type="dxa" w:w="80"/>
              <w:right w:type="dxa" w:w="100"/>
            </w:tcMar>
            <w:vAlign w:val="center"/>
          </w:tcPr>
          <w:p>
            <w:r>
              <w:rPr>
                <w:b w:val="false"/>
                <w:bCs w:val="false"/>
                <w:color w:val="000000"/>
                <w:sz w:val="20"/>
                <w:szCs w:val="20"/>
              </w:rPr>
              <w:t xml:space="preserve">8-12 j</w:t>
            </w:r>
          </w:p>
        </w:tc>
        <w:tc>
          <w:tcPr>
            <w:tcW w:type="dxa" w:w="5350"/>
            <w:tcMar>
              <w:top w:type="dxa" w:w="80"/>
              <w:left w:type="dxa" w:w="100"/>
              <w:bottom w:type="dxa" w:w="80"/>
              <w:right w:type="dxa" w:w="100"/>
            </w:tcMar>
            <w:vAlign w:val="center"/>
          </w:tcPr>
          <w:p>
            <w:r>
              <w:rPr>
                <w:b w:val="false"/>
                <w:bCs w:val="false"/>
                <w:color w:val="000000"/>
                <w:sz w:val="20"/>
                <w:szCs w:val="20"/>
              </w:rPr>
              <w:t xml:space="preserve">CRUD Provider (avec hiérarchie parent/enfant), création/liaison des comptes Accounts avec pré-remplissage (4.4 bis) et cache de session (4.4 ter), test de connexion Acronis, formulaire Twig, zone de config "Valeurs par défaut Accounts".</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3 — Dashboards live + détection rattachement</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6-10 j</w:t>
            </w:r>
          </w:p>
        </w:tc>
        <w:tc>
          <w:tcPr>
            <w:tcW w:type="dxa" w:w="5350"/>
            <w:shd w:fill="F2F2F2" w:val="clear"/>
            <w:tcMar>
              <w:top w:type="dxa" w:w="80"/>
              <w:left w:type="dxa" w:w="100"/>
              <w:bottom w:type="dxa" w:w="80"/>
              <w:right w:type="dxa" w:w="100"/>
            </w:tcMar>
            <w:vAlign w:val="center"/>
          </w:tcPr>
          <w:p>
            <w:r>
              <w:rPr>
                <w:b w:val="false"/>
                <w:bCs w:val="false"/>
                <w:color w:val="000000"/>
                <w:sz w:val="20"/>
                <w:szCs w:val="20"/>
              </w:rPr>
              <w:t xml:space="preserve">Pages live query (plans, appareils, stats — pas de mirroir), StorageSpace multi-backend (Acronis/NAS/fichier/S3), tâche périodique de détection (4.7) + DiscoveryLog. Portée réduite par rapport à une synchro complète grâce à la décision d'architecture (2.1).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4 — Rattachement équipements</w:t>
            </w:r>
          </w:p>
        </w:tc>
        <w:tc>
          <w:tcPr>
            <w:tcW w:type="dxa" w:w="1600"/>
            <w:tcMar>
              <w:top w:type="dxa" w:w="80"/>
              <w:left w:type="dxa" w:w="100"/>
              <w:bottom w:type="dxa" w:w="80"/>
              <w:right w:type="dxa" w:w="100"/>
            </w:tcMar>
            <w:vAlign w:val="center"/>
          </w:tcPr>
          <w:p>
            <w:r>
              <w:rPr>
                <w:b w:val="false"/>
                <w:bCs w:val="false"/>
                <w:color w:val="000000"/>
                <w:sz w:val="20"/>
                <w:szCs w:val="20"/>
              </w:rPr>
              <w:t xml:space="preserve">5-8 j</w:t>
            </w:r>
          </w:p>
        </w:tc>
        <w:tc>
          <w:tcPr>
            <w:tcW w:type="dxa" w:w="5350"/>
            <w:tcMar>
              <w:top w:type="dxa" w:w="80"/>
              <w:left w:type="dxa" w:w="100"/>
              <w:bottom w:type="dxa" w:w="80"/>
              <w:right w:type="dxa" w:w="100"/>
            </w:tcMar>
            <w:vAlign w:val="center"/>
          </w:tcPr>
          <w:p>
            <w:r>
              <w:rPr>
                <w:b w:val="false"/>
                <w:bCs w:val="false"/>
                <w:color w:val="000000"/>
                <w:sz w:val="20"/>
                <w:szCs w:val="20"/>
              </w:rPr>
              <w:t xml:space="preserve">Matcher (correspondance auto), écran de mapping manuel, onglet "Sauvegarde" sur la fiche équipement (appel live).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5 — Interface de consultation</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3-5 j</w:t>
            </w:r>
          </w:p>
        </w:tc>
        <w:tc>
          <w:tcPr>
            <w:tcW w:type="dxa" w:w="5350"/>
            <w:shd w:fill="F2F2F2" w:val="clear"/>
            <w:tcMar>
              <w:top w:type="dxa" w:w="80"/>
              <w:left w:type="dxa" w:w="100"/>
              <w:bottom w:type="dxa" w:w="80"/>
              <w:right w:type="dxa" w:w="100"/>
            </w:tcMar>
            <w:vAlign w:val="center"/>
          </w:tcPr>
          <w:p>
            <w:r>
              <w:rPr>
                <w:b w:val="false"/>
                <w:bCs w:val="false"/>
                <w:color w:val="000000"/>
                <w:sz w:val="20"/>
                <w:szCs w:val="20"/>
              </w:rPr>
              <w:t xml:space="preserve">SearchOptions sur Provider/StorageSpace, tableaux de bord live sur Device/BackupPlan, affichage de la hiérarchie de tenants, vue de synthèse.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6 — Recette et durcissement</w:t>
            </w:r>
          </w:p>
        </w:tc>
        <w:tc>
          <w:tcPr>
            <w:tcW w:type="dxa" w:w="1600"/>
            <w:tcMar>
              <w:top w:type="dxa" w:w="80"/>
              <w:left w:type="dxa" w:w="100"/>
              <w:bottom w:type="dxa" w:w="80"/>
              <w:right w:type="dxa" w:w="100"/>
            </w:tcMar>
            <w:vAlign w:val="center"/>
          </w:tcPr>
          <w:p>
            <w:r>
              <w:rPr>
                <w:b w:val="false"/>
                <w:bCs w:val="false"/>
                <w:color w:val="000000"/>
                <w:sz w:val="20"/>
                <w:szCs w:val="20"/>
              </w:rPr>
              <w:t xml:space="preserve">4-6 j</w:t>
            </w:r>
          </w:p>
        </w:tc>
        <w:tc>
          <w:tcPr>
            <w:tcW w:type="dxa" w:w="5350"/>
            <w:tcMar>
              <w:top w:type="dxa" w:w="80"/>
              <w:left w:type="dxa" w:w="100"/>
              <w:bottom w:type="dxa" w:w="80"/>
              <w:right w:type="dxa" w:w="100"/>
            </w:tcMar>
            <w:vAlign w:val="center"/>
          </w:tcPr>
          <w:p>
            <w:r>
              <w:rPr>
                <w:b w:val="false"/>
                <w:bCs w:val="false"/>
                <w:color w:val="000000"/>
                <w:sz w:val="20"/>
                <w:szCs w:val="20"/>
              </w:rPr>
              <w:t xml:space="preserve">Exécution des scénarios de recette (Partie 3), corrections, documentation, packaging release 1.0.0.</w:t>
            </w:r>
          </w:p>
        </w:tc>
      </w:tr>
    </w:tbl>
    <w:p>
      <w:pPr>
        <w:spacing w:after="160"/>
      </w:pPr>
      <w:r>
        <w:rPr>
          <w:i/>
          <w:iCs/>
          <w:color w:val="595959"/>
        </w:rPr>
        <w:t xml:space="preserve">Durées indicatives pour un développement à temps partagé ; à ajuster une fois le jalon 0 réalisé (notamment la complexité réelle de l'API Acronis et de l'intégration Accounts).</w:t>
      </w:r>
    </w:p>
    <w:p>
      <w:pPr>
        <w:pStyle w:val="Heading2"/>
        <w:spacing w:after="150" w:before="300"/>
      </w:pPr>
      <w:r>
        <w:t xml:space="preserve">4. Outils et intégration continue</w:t>
      </w:r>
    </w:p>
    <w:p>
      <w:pPr>
        <w:pStyle w:val="ListParagraph"/>
        <w:numPr>
          <w:ilvl w:val="0"/>
          <w:numId w:val="1"/>
        </w:numPr>
        <w:spacing w:after="80"/>
      </w:pPr>
      <w:r>
        <w:t xml:space="preserve">GitHub Actions : lint PHP (php -l), analyse statique (PHPStan ou Psalm, niveau raisonnable), exécution des tests unitaires PHPUnit, build du paquet zip d'installation à chaque tag.</w:t>
      </w:r>
    </w:p>
    <w:p>
      <w:pPr>
        <w:pStyle w:val="ListParagraph"/>
        <w:numPr>
          <w:ilvl w:val="0"/>
          <w:numId w:val="1"/>
        </w:numPr>
        <w:spacing w:after="80"/>
      </w:pPr>
      <w:r>
        <w:t xml:space="preserve">Environnement de développement : GLPI 11 en conteneur Docker (docker-compose glpi + mysql), avec le plugin Accounts installé, pointant sur le tenant Acronis de test.</w:t>
      </w:r>
    </w:p>
    <w:p>
      <w:pPr>
        <w:pStyle w:val="ListParagraph"/>
        <w:numPr>
          <w:ilvl w:val="0"/>
          <w:numId w:val="1"/>
        </w:numPr>
        <w:spacing w:after="80"/>
      </w:pPr>
      <w:r>
        <w:t xml:space="preserve">Revue de code systématique avant fusion sur develop (via pull request), même en solo, pour garder un historique de décisions techniques exploitable.</w:t>
      </w:r>
    </w:p>
    <w:p>
      <w:r>
        <w:br w:type="page"/>
      </w:r>
    </w:p>
    <w:p>
      <w:pPr>
        <w:pStyle w:val="Heading1"/>
        <w:spacing w:after="200" w:before="400"/>
      </w:pPr>
      <w:r>
        <w:t xml:space="preserve">Partie 3 — Stratégie de test</w:t>
      </w:r>
    </w:p>
    <w:p>
      <w:pPr>
        <w:pStyle w:val="Heading2"/>
        <w:spacing w:after="150" w:before="300"/>
      </w:pPr>
      <w:r>
        <w:t xml:space="preserve">1. Niveaux de test</w:t>
      </w:r>
    </w:p>
    <w:p>
      <w:pPr>
        <w:pStyle w:val="ListParagraph"/>
        <w:numPr>
          <w:ilvl w:val="0"/>
          <w:numId w:val="1"/>
        </w:numPr>
        <w:spacing w:after="80"/>
      </w:pPr>
      <w:r>
        <w:rPr>
          <w:b/>
          <w:bCs/>
        </w:rPr>
        <w:t xml:space="preserve">Unitaires (PHPUnit) — </w:t>
      </w:r>
      <w:r>
        <w:t xml:space="preserve">logique pure sans appel réseau réel : parsing des réponses AcronisProvider (mockées), algorithmes de correspondance du Matcher, ProviderFactory, calculs de volumétrie.</w:t>
      </w:r>
    </w:p>
    <w:p>
      <w:pPr>
        <w:pStyle w:val="ListParagraph"/>
        <w:numPr>
          <w:ilvl w:val="0"/>
          <w:numId w:val="1"/>
        </w:numPr>
        <w:spacing w:after="80"/>
      </w:pPr>
      <w:r>
        <w:rPr>
          <w:b/>
          <w:bCs/>
        </w:rPr>
        <w:t xml:space="preserve">Intégration — </w:t>
      </w:r>
      <w:r>
        <w:t xml:space="preserve">contre une instance GLPI 11 réelle (Docker) avec base de test : install/uninstall du plugin, CRUD Provider avec création du compte Accounts associé, affichage live et exécution de la tâche de détection contre le tenant Acronis de test (jamais un tenant de production).</w:t>
      </w:r>
    </w:p>
    <w:p>
      <w:pPr>
        <w:pStyle w:val="ListParagraph"/>
        <w:numPr>
          <w:ilvl w:val="0"/>
          <w:numId w:val="1"/>
        </w:numPr>
        <w:spacing w:after="80"/>
      </w:pPr>
      <w:r>
        <w:rPr>
          <w:b/>
          <w:bCs/>
        </w:rPr>
        <w:t xml:space="preserve">Recette fonctionnelle manuelle — </w:t>
      </w:r>
      <w:r>
        <w:t xml:space="preserve">scénarios utilisateurs (ci-dessous) validés avant chaque release, en conditions proches du réel.</w:t>
      </w:r>
    </w:p>
    <w:p>
      <w:pPr>
        <w:pStyle w:val="Heading2"/>
        <w:spacing w:after="150" w:before="300"/>
      </w:pPr>
      <w:r>
        <w:t xml:space="preserve">2. Jeux de données et environnement de test</w:t>
      </w:r>
    </w:p>
    <w:p>
      <w:pPr>
        <w:pStyle w:val="ListParagraph"/>
        <w:numPr>
          <w:ilvl w:val="0"/>
          <w:numId w:val="1"/>
        </w:numPr>
        <w:spacing w:after="80"/>
      </w:pPr>
      <w:r>
        <w:t xml:space="preserve">Un tenant Acronis de test (essai gratuit ou environnement partenaire) avec quelques appareils et un plan de sauvegarde factices — jamais de test contre un tenant de production.</w:t>
      </w:r>
    </w:p>
    <w:p>
      <w:pPr>
        <w:pStyle w:val="ListParagraph"/>
        <w:numPr>
          <w:ilvl w:val="0"/>
          <w:numId w:val="1"/>
        </w:numPr>
        <w:spacing w:after="80"/>
      </w:pPr>
      <w:r>
        <w:t xml:space="preserve">Une instance GLPI 11 de test avec des équipements représentatifs (Computer, NetworkEquipment) pour valider le rattachement automatique et le mapping manuel.</w:t>
      </w:r>
    </w:p>
    <w:p>
      <w:pPr>
        <w:pStyle w:val="ListParagraph"/>
        <w:numPr>
          <w:ilvl w:val="0"/>
          <w:numId w:val="1"/>
        </w:numPr>
        <w:spacing w:after="80"/>
      </w:pPr>
      <w:r>
        <w:t xml:space="preserve">Le plugin Accounts installé et activé dans l'environnement de test, avec au moins un type de compte configuré.</w:t>
      </w:r>
    </w:p>
    <w:p>
      <w:pPr>
        <w:pStyle w:val="Heading2"/>
        <w:spacing w:after="150" w:before="300"/>
      </w:pPr>
      <w:r>
        <w:t xml:space="preserve">3. Scénarios de recette clés — Version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50"/>
      </w:tblGrid>
      <w:tr>
        <w:trPr>
          <w:tblHeader/>
        </w:trPr>
        <w:tc>
          <w:tcPr>
            <w:tcW w:type="dxa" w:w="500"/>
            <w:shd w:fill="1F3864" w:val="clear"/>
            <w:tcMar>
              <w:top w:type="dxa" w:w="80"/>
              <w:left w:type="dxa" w:w="100"/>
              <w:bottom w:type="dxa" w:w="80"/>
              <w:right w:type="dxa" w:w="100"/>
            </w:tcMar>
            <w:vAlign w:val="center"/>
          </w:tcPr>
          <w:p>
            <w:r>
              <w:rPr>
                <w:b/>
                <w:bCs/>
                <w:color w:val="FFFFFF"/>
                <w:sz w:val="20"/>
                <w:szCs w:val="20"/>
              </w:rPr>
              <w:t xml:space="preserve">#</w:t>
            </w:r>
          </w:p>
        </w:tc>
        <w:tc>
          <w:tcPr>
            <w:tcW w:type="dxa" w:w="3800"/>
            <w:shd w:fill="1F3864" w:val="clear"/>
            <w:tcMar>
              <w:top w:type="dxa" w:w="80"/>
              <w:left w:type="dxa" w:w="100"/>
              <w:bottom w:type="dxa" w:w="80"/>
              <w:right w:type="dxa" w:w="100"/>
            </w:tcMar>
            <w:vAlign w:val="center"/>
          </w:tcPr>
          <w:p>
            <w:r>
              <w:rPr>
                <w:b/>
                <w:bCs/>
                <w:color w:val="FFFFFF"/>
                <w:sz w:val="20"/>
                <w:szCs w:val="20"/>
              </w:rPr>
              <w:t xml:space="preserve">Scénario</w:t>
            </w:r>
          </w:p>
        </w:tc>
        <w:tc>
          <w:tcPr>
            <w:tcW w:type="dxa" w:w="5050"/>
            <w:shd w:fill="1F3864" w:val="clear"/>
            <w:tcMar>
              <w:top w:type="dxa" w:w="80"/>
              <w:left w:type="dxa" w:w="100"/>
              <w:bottom w:type="dxa" w:w="80"/>
              <w:right w:type="dxa" w:w="100"/>
            </w:tcMar>
            <w:vAlign w:val="center"/>
          </w:tcPr>
          <w:p>
            <w:r>
              <w:rPr>
                <w:b/>
                <w:bCs/>
                <w:color w:val="FFFFFF"/>
                <w:sz w:val="20"/>
                <w:szCs w:val="20"/>
              </w:rPr>
              <w:t xml:space="preserve">Résultat attendu</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w:t>
            </w:r>
          </w:p>
        </w:tc>
        <w:tc>
          <w:tcPr>
            <w:tcW w:type="dxa" w:w="3800"/>
            <w:tcMar>
              <w:top w:type="dxa" w:w="80"/>
              <w:left w:type="dxa" w:w="100"/>
              <w:bottom w:type="dxa" w:w="80"/>
              <w:right w:type="dxa" w:w="100"/>
            </w:tcMar>
            <w:vAlign w:val="center"/>
          </w:tcPr>
          <w:p>
            <w:r>
              <w:rPr>
                <w:b w:val="false"/>
                <w:bCs w:val="false"/>
                <w:color w:val="000000"/>
                <w:sz w:val="20"/>
                <w:szCs w:val="20"/>
              </w:rPr>
              <w:t xml:space="preserve">Création d'un compte provider Acronis avec identifiants API</w:t>
            </w:r>
          </w:p>
        </w:tc>
        <w:tc>
          <w:tcPr>
            <w:tcW w:type="dxa" w:w="5050"/>
            <w:tcMar>
              <w:top w:type="dxa" w:w="80"/>
              <w:left w:type="dxa" w:w="100"/>
              <w:bottom w:type="dxa" w:w="80"/>
              <w:right w:type="dxa" w:w="100"/>
            </w:tcMar>
            <w:vAlign w:val="center"/>
          </w:tcPr>
          <w:p>
            <w:r>
              <w:rPr>
                <w:b w:val="false"/>
                <w:bCs w:val="false"/>
                <w:color w:val="000000"/>
                <w:sz w:val="20"/>
                <w:szCs w:val="20"/>
              </w:rPr>
              <w:t xml:space="preserve">Les identifiants (client_id/client_secret) sont bien écrits, chiffrés, dans glpi_plugin_backupgestion_credentials ; aucune valeur en clair en base (vérification SQL directe).</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Vérification de la clé de chiffrement (catégorie a)</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La clé AES utilisée n'existe nulle part en base, ni dans BackupGestion ni dans Accounts ; elle est recalculée à la demande à partir de l'entité, de l'utilisateur référent (snapshot) et du sel stocké (4.4 quater).</w:t>
            </w:r>
          </w:p>
        </w:tc>
      </w:tr>
      <w:tr>
        <w:tc>
          <w:tcPr>
            <w:tcW w:type="dxa" w:w="500"/>
            <w:tcMar>
              <w:top w:type="dxa" w:w="80"/>
              <w:left w:type="dxa" w:w="100"/>
              <w:bottom w:type="dxa" w:w="80"/>
              <w:right w:type="dxa" w:w="100"/>
            </w:tcMar>
            <w:vAlign w:val="center"/>
          </w:tcPr>
          <w:p>
            <w:r>
              <w:rPr>
                <w:b w:val="false"/>
                <w:bCs w:val="false"/>
                <w:color w:val="000000"/>
                <w:sz w:val="20"/>
                <w:szCs w:val="20"/>
              </w:rPr>
              <w:t xml:space="preserve">3</w:t>
            </w:r>
          </w:p>
        </w:tc>
        <w:tc>
          <w:tcPr>
            <w:tcW w:type="dxa" w:w="3800"/>
            <w:tcMar>
              <w:top w:type="dxa" w:w="80"/>
              <w:left w:type="dxa" w:w="100"/>
              <w:bottom w:type="dxa" w:w="80"/>
              <w:right w:type="dxa" w:w="100"/>
            </w:tcMar>
            <w:vAlign w:val="center"/>
          </w:tcPr>
          <w:p>
            <w:r>
              <w:rPr>
                <w:b w:val="false"/>
                <w:bCs w:val="false"/>
                <w:color w:val="000000"/>
                <w:sz w:val="20"/>
                <w:szCs w:val="20"/>
              </w:rPr>
              <w:t xml:space="preserve">Test de connexion sur un compte provider valide / invalide</w:t>
            </w:r>
          </w:p>
        </w:tc>
        <w:tc>
          <w:tcPr>
            <w:tcW w:type="dxa" w:w="5050"/>
            <w:tcMar>
              <w:top w:type="dxa" w:w="80"/>
              <w:left w:type="dxa" w:w="100"/>
              <w:bottom w:type="dxa" w:w="80"/>
              <w:right w:type="dxa" w:w="100"/>
            </w:tcMar>
            <w:vAlign w:val="center"/>
          </w:tcPr>
          <w:p>
            <w:r>
              <w:rPr>
                <w:b w:val="false"/>
                <w:bCs w:val="false"/>
                <w:color w:val="000000"/>
                <w:sz w:val="20"/>
                <w:szCs w:val="20"/>
              </w:rPr>
              <w:t xml:space="preserve">Succès affiché si les identifiants sont corrects (déchiffrement via la clé locale dérivée) ; message d'erreur explicite sinon.</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4</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Suppression d'un compte provider</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La ligne locale de credentials API (catégorie a) est supprimée ; les comptes Accounts de catégorie (b) (admin compte client, ressources de stockage) restent intacts.</w:t>
            </w:r>
          </w:p>
        </w:tc>
      </w:tr>
      <w:tr>
        <w:tc>
          <w:tcPr>
            <w:tcW w:type="dxa" w:w="500"/>
            <w:tcMar>
              <w:top w:type="dxa" w:w="80"/>
              <w:left w:type="dxa" w:w="100"/>
              <w:bottom w:type="dxa" w:w="80"/>
              <w:right w:type="dxa" w:w="100"/>
            </w:tcMar>
            <w:vAlign w:val="center"/>
          </w:tcPr>
          <w:p>
            <w:r>
              <w:rPr>
                <w:b w:val="false"/>
                <w:bCs w:val="false"/>
                <w:color w:val="000000"/>
                <w:sz w:val="20"/>
                <w:szCs w:val="20"/>
              </w:rPr>
              <w:t xml:space="preserve">5</w:t>
            </w:r>
          </w:p>
        </w:tc>
        <w:tc>
          <w:tcPr>
            <w:tcW w:type="dxa" w:w="3800"/>
            <w:tcMar>
              <w:top w:type="dxa" w:w="80"/>
              <w:left w:type="dxa" w:w="100"/>
              <w:bottom w:type="dxa" w:w="80"/>
              <w:right w:type="dxa" w:w="100"/>
            </w:tcMar>
            <w:vAlign w:val="center"/>
          </w:tcPr>
          <w:p>
            <w:r>
              <w:rPr>
                <w:b w:val="false"/>
                <w:bCs w:val="false"/>
                <w:color w:val="000000"/>
                <w:sz w:val="20"/>
                <w:szCs w:val="20"/>
              </w:rPr>
              <w:t xml:space="preserve">Désinstallation complète du plugin BackupGestion</w:t>
            </w:r>
          </w:p>
        </w:tc>
        <w:tc>
          <w:tcPr>
            <w:tcW w:type="dxa" w:w="5050"/>
            <w:tcMar>
              <w:top w:type="dxa" w:w="80"/>
              <w:left w:type="dxa" w:w="100"/>
              <w:bottom w:type="dxa" w:w="80"/>
              <w:right w:type="dxa" w:w="100"/>
            </w:tcMar>
            <w:vAlign w:val="center"/>
          </w:tcPr>
          <w:p>
            <w:r>
              <w:rPr>
                <w:b w:val="false"/>
                <w:bCs w:val="false"/>
                <w:color w:val="000000"/>
                <w:sz w:val="20"/>
                <w:szCs w:val="20"/>
              </w:rPr>
              <w:t xml:space="preserve">Les tables locales du plugin disparaissent (catégorie a perdue) ; tous les comptes Accounts liés (catégorie b : admin compte client, stockage) restent visibles et intacts dans le plugin Accounts.</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6</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Affichage live des plans/appareils/stats d'un tenant de test</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Les données affichées correspondent exactement à la console Acronis au moment de la consultation ; aucune table locale n'est peuplée (vérification SQL) ; un second affichage rapproché sert le cache technique court sans nouvel appel API.</w:t>
            </w:r>
          </w:p>
        </w:tc>
      </w:tr>
      <w:tr>
        <w:tc>
          <w:tcPr>
            <w:tcW w:type="dxa" w:w="500"/>
            <w:tcMar>
              <w:top w:type="dxa" w:w="80"/>
              <w:left w:type="dxa" w:w="100"/>
              <w:bottom w:type="dxa" w:w="80"/>
              <w:right w:type="dxa" w:w="100"/>
            </w:tcMar>
            <w:vAlign w:val="center"/>
          </w:tcPr>
          <w:p>
            <w:r>
              <w:rPr>
                <w:b w:val="false"/>
                <w:bCs w:val="false"/>
                <w:color w:val="000000"/>
                <w:sz w:val="20"/>
                <w:szCs w:val="20"/>
              </w:rPr>
              <w:t xml:space="preserve">7</w:t>
            </w:r>
          </w:p>
        </w:tc>
        <w:tc>
          <w:tcPr>
            <w:tcW w:type="dxa" w:w="3800"/>
            <w:tcMar>
              <w:top w:type="dxa" w:w="80"/>
              <w:left w:type="dxa" w:w="100"/>
              <w:bottom w:type="dxa" w:w="80"/>
              <w:right w:type="dxa" w:w="100"/>
            </w:tcMar>
            <w:vAlign w:val="center"/>
          </w:tcPr>
          <w:p>
            <w:r>
              <w:rPr>
                <w:b w:val="false"/>
                <w:bCs w:val="false"/>
                <w:color w:val="000000"/>
                <w:sz w:val="20"/>
                <w:szCs w:val="20"/>
              </w:rPr>
              <w:t xml:space="preserve">Exécution de la tâche périodique de détection</w:t>
            </w:r>
          </w:p>
        </w:tc>
        <w:tc>
          <w:tcPr>
            <w:tcW w:type="dxa" w:w="5050"/>
            <w:tcMar>
              <w:top w:type="dxa" w:w="80"/>
              <w:left w:type="dxa" w:w="100"/>
              <w:bottom w:type="dxa" w:w="80"/>
              <w:right w:type="dxa" w:w="100"/>
            </w:tcMar>
            <w:vAlign w:val="center"/>
          </w:tcPr>
          <w:p>
            <w:r>
              <w:rPr>
                <w:b w:val="false"/>
                <w:bCs w:val="false"/>
                <w:color w:val="000000"/>
                <w:sz w:val="20"/>
                <w:szCs w:val="20"/>
              </w:rPr>
              <w:t xml:space="preserve">Les nouveaux appareils/stockages Acronis natifs apparaissent dans glpi_plugin_backupgestion_device_links et l'écran de mapping manuel, sans doublon si déjà connus ; DiscoveryLog renseigné.</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8</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Rattachement automatique d'un appareil (hostname connu)</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L'appareil Acronis est associé au bon équipement GLPI existant lors de la détection, visible depuis l'onglet "Sauvegarde" (appel live).</w:t>
            </w:r>
          </w:p>
        </w:tc>
      </w:tr>
      <w:tr>
        <w:tc>
          <w:tcPr>
            <w:tcW w:type="dxa" w:w="500"/>
            <w:tcMar>
              <w:top w:type="dxa" w:w="80"/>
              <w:left w:type="dxa" w:w="100"/>
              <w:bottom w:type="dxa" w:w="80"/>
              <w:right w:type="dxa" w:w="100"/>
            </w:tcMar>
            <w:vAlign w:val="center"/>
          </w:tcPr>
          <w:p>
            <w:r>
              <w:rPr>
                <w:b w:val="false"/>
                <w:bCs w:val="false"/>
                <w:color w:val="000000"/>
                <w:sz w:val="20"/>
                <w:szCs w:val="20"/>
              </w:rPr>
              <w:t xml:space="preserve">9</w:t>
            </w:r>
          </w:p>
        </w:tc>
        <w:tc>
          <w:tcPr>
            <w:tcW w:type="dxa" w:w="3800"/>
            <w:tcMar>
              <w:top w:type="dxa" w:w="80"/>
              <w:left w:type="dxa" w:w="100"/>
              <w:bottom w:type="dxa" w:w="80"/>
              <w:right w:type="dxa" w:w="100"/>
            </w:tcMar>
            <w:vAlign w:val="center"/>
          </w:tcPr>
          <w:p>
            <w:r>
              <w:rPr>
                <w:b w:val="false"/>
                <w:bCs w:val="false"/>
                <w:color w:val="000000"/>
                <w:sz w:val="20"/>
                <w:szCs w:val="20"/>
              </w:rPr>
              <w:t xml:space="preserve">Appareil sans correspondance automatique</w:t>
            </w:r>
          </w:p>
        </w:tc>
        <w:tc>
          <w:tcPr>
            <w:tcW w:type="dxa" w:w="5050"/>
            <w:tcMar>
              <w:top w:type="dxa" w:w="80"/>
              <w:left w:type="dxa" w:w="100"/>
              <w:bottom w:type="dxa" w:w="80"/>
              <w:right w:type="dxa" w:w="100"/>
            </w:tcMar>
            <w:vAlign w:val="center"/>
          </w:tcPr>
          <w:p>
            <w:r>
              <w:rPr>
                <w:b w:val="false"/>
                <w:bCs w:val="false"/>
                <w:color w:val="000000"/>
                <w:sz w:val="20"/>
                <w:szCs w:val="20"/>
              </w:rPr>
              <w:t xml:space="preserve">L'appareil apparaît dans l'écran de mapping manuel ; association ou ignorance possible.</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Espace de stockage sans équipement GLPI existant</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Le stockage reste visible, non rattaché, sans erreur ; rattachement manuel possible a posteriori.</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11</w:t>
            </w:r>
          </w:p>
        </w:tc>
        <w:tc>
          <w:tcPr>
            <w:tcW w:type="dxa" w:w="3800"/>
            <w:tcMar>
              <w:top w:type="dxa" w:w="80"/>
              <w:left w:type="dxa" w:w="100"/>
              <w:bottom w:type="dxa" w:w="80"/>
              <w:right w:type="dxa" w:w="100"/>
            </w:tcMar>
            <w:vAlign w:val="center"/>
          </w:tcPr>
          <w:p>
            <w:r>
              <w:rPr>
                <w:b w:val="false"/>
                <w:bCs w:val="false"/>
                <w:color w:val="000000"/>
                <w:sz w:val="20"/>
                <w:szCs w:val="20"/>
              </w:rPr>
              <w:t xml:space="preserve">Erreur API (identifiants invalides, timeout)</w:t>
            </w:r>
          </w:p>
        </w:tc>
        <w:tc>
          <w:tcPr>
            <w:tcW w:type="dxa" w:w="5050"/>
            <w:tcMar>
              <w:top w:type="dxa" w:w="80"/>
              <w:left w:type="dxa" w:w="100"/>
              <w:bottom w:type="dxa" w:w="80"/>
              <w:right w:type="dxa" w:w="100"/>
            </w:tcMar>
            <w:vAlign w:val="center"/>
          </w:tcPr>
          <w:p>
            <w:r>
              <w:rPr>
                <w:b w:val="false"/>
                <w:bCs w:val="false"/>
                <w:color w:val="000000"/>
                <w:sz w:val="20"/>
                <w:szCs w:val="20"/>
              </w:rPr>
              <w:t xml:space="preserve">Sur une page live : message d'erreur clair, pas de page cassée. Sur la tâche de détection : traitement partiel non destructif (aucune suppression erronée de rattachement existant), DiscoveryLog renseigné avec le détail.</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12</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Profil "Observateur" (lecture seule)</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Consultation possible ; création/modification de compte provider et déclenchement manuel de la détection bloqués.</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13</w:t>
            </w:r>
          </w:p>
        </w:tc>
        <w:tc>
          <w:tcPr>
            <w:tcW w:type="dxa" w:w="3800"/>
            <w:tcMar>
              <w:top w:type="dxa" w:w="80"/>
              <w:left w:type="dxa" w:w="100"/>
              <w:bottom w:type="dxa" w:w="80"/>
              <w:right w:type="dxa" w:w="100"/>
            </w:tcMar>
            <w:vAlign w:val="center"/>
          </w:tcPr>
          <w:p>
            <w:r>
              <w:rPr>
                <w:b w:val="false"/>
                <w:bCs w:val="false"/>
                <w:color w:val="000000"/>
                <w:sz w:val="20"/>
                <w:szCs w:val="20"/>
              </w:rPr>
              <w:t xml:space="preserve">Désactivation du plugin Accounts</w:t>
            </w:r>
          </w:p>
        </w:tc>
        <w:tc>
          <w:tcPr>
            <w:tcW w:type="dxa" w:w="5050"/>
            <w:tcMar>
              <w:top w:type="dxa" w:w="80"/>
              <w:left w:type="dxa" w:w="100"/>
              <w:bottom w:type="dxa" w:w="80"/>
              <w:right w:type="dxa" w:w="100"/>
            </w:tcMar>
            <w:vAlign w:val="center"/>
          </w:tcPr>
          <w:p>
            <w:r>
              <w:rPr>
                <w:b w:val="false"/>
                <w:bCs w:val="false"/>
                <w:color w:val="000000"/>
                <w:sz w:val="20"/>
                <w:szCs w:val="20"/>
              </w:rPr>
              <w:t xml:space="preserve">Seule la catégorie (b) devient inaccessible (admin compte client, ressources de stockage) ; la connexion API et les dashboards live (catégorie a) continuent de fonctionner normalement, sans dépendance à Accounts.</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14</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Découverte de la hiérarchie de tenants depuis un compte revendeur</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Les tenants clients (et sous-revendeurs) apparaissent automatiquement comme des Provider distincts, correctement rattachés à leur parent.</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15</w:t>
            </w:r>
          </w:p>
        </w:tc>
        <w:tc>
          <w:tcPr>
            <w:tcW w:type="dxa" w:w="3800"/>
            <w:tcMar>
              <w:top w:type="dxa" w:w="80"/>
              <w:left w:type="dxa" w:w="100"/>
              <w:bottom w:type="dxa" w:w="80"/>
              <w:right w:type="dxa" w:w="100"/>
            </w:tcMar>
            <w:vAlign w:val="center"/>
          </w:tcPr>
          <w:p>
            <w:r>
              <w:rPr>
                <w:b w:val="false"/>
                <w:bCs w:val="false"/>
                <w:color w:val="000000"/>
                <w:sz w:val="20"/>
                <w:szCs w:val="20"/>
              </w:rPr>
              <w:t xml:space="preserve">Pré-remplissage d'une fiche Accounts créée par le plugin</w:t>
            </w:r>
          </w:p>
        </w:tc>
        <w:tc>
          <w:tcPr>
            <w:tcW w:type="dxa" w:w="5050"/>
            <w:tcMar>
              <w:top w:type="dxa" w:w="80"/>
              <w:left w:type="dxa" w:w="100"/>
              <w:bottom w:type="dxa" w:w="80"/>
              <w:right w:type="dxa" w:w="100"/>
            </w:tcMar>
            <w:vAlign w:val="center"/>
          </w:tcPr>
          <w:p>
            <w:r>
              <w:rPr>
                <w:b w:val="false"/>
                <w:bCs w:val="false"/>
                <w:color w:val="000000"/>
                <w:sz w:val="20"/>
                <w:szCs w:val="20"/>
              </w:rPr>
              <w:t xml:space="preserve">Tous les champs (Nom, Type, Statut, Empreinte, Utilisateur concerné, Technicien responsable, Groupe concerné, Groupe responsable, Associable à un ticket…) sont conformes à la configuration "Valeurs par défaut Accounts" du provider (tableau 4.4 bis), chacun avec sa propre valeur.</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16</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Cache de session de la clé de déchiffrement</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La clé n'est demandée qu'une fois pour plusieurs opérations successives dans le délai du timeout ; elle est re-demandée après expiration ou déconnexion.</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17</w:t>
            </w:r>
          </w:p>
        </w:tc>
        <w:tc>
          <w:tcPr>
            <w:tcW w:type="dxa" w:w="3800"/>
            <w:tcMar>
              <w:top w:type="dxa" w:w="80"/>
              <w:left w:type="dxa" w:w="100"/>
              <w:bottom w:type="dxa" w:w="80"/>
              <w:right w:type="dxa" w:w="100"/>
            </w:tcMar>
            <w:vAlign w:val="center"/>
          </w:tcPr>
          <w:p>
            <w:r>
              <w:rPr>
                <w:b w:val="false"/>
                <w:bCs w:val="false"/>
                <w:color w:val="000000"/>
                <w:sz w:val="20"/>
                <w:szCs w:val="20"/>
              </w:rPr>
              <w:t xml:space="preserve">Espace de stockage S3/Wasabi avec plusieurs comptes Accounts liés</w:t>
            </w:r>
          </w:p>
        </w:tc>
        <w:tc>
          <w:tcPr>
            <w:tcW w:type="dxa" w:w="5050"/>
            <w:tcMar>
              <w:top w:type="dxa" w:w="80"/>
              <w:left w:type="dxa" w:w="100"/>
              <w:bottom w:type="dxa" w:w="80"/>
              <w:right w:type="dxa" w:w="100"/>
            </w:tcMar>
            <w:vAlign w:val="center"/>
          </w:tcPr>
          <w:p>
            <w:r>
              <w:rPr>
                <w:b w:val="false"/>
                <w:bCs w:val="false"/>
                <w:color w:val="000000"/>
                <w:sz w:val="20"/>
                <w:szCs w:val="20"/>
              </w:rPr>
              <w:t xml:space="preserve">Les comptes de rôle "login" et "chiffrement" sont tous deux créés et correctement rattachés à l'espace de stockage via glpi_plugin_backupgestion_storage_accounts.</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18</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Suppression d'un provider avec sous-tenants mixtes</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Les sous-tenants sans provider indépendant sont supprimés en cascade ; ceux avec provider indépendant sont préservés (seul le lien de parenté est retiré) et reçoivent la notification "maintien" ; aucun compte Accounts n'est supprimé dans tous les cas ; l'ensemble reste restaurable depuis la corbeille GLPI.</w:t>
            </w:r>
          </w:p>
        </w:tc>
      </w:tr>
      <w:tr>
        <w:tc>
          <w:tcPr>
            <w:tcW w:type="dxa" w:w="500"/>
            <w:tcMar>
              <w:top w:type="dxa" w:w="80"/>
              <w:left w:type="dxa" w:w="100"/>
              <w:bottom w:type="dxa" w:w="80"/>
              <w:right w:type="dxa" w:w="100"/>
            </w:tcMar>
            <w:vAlign w:val="center"/>
          </w:tcPr>
          <w:p>
            <w:r>
              <w:rPr>
                <w:b w:val="false"/>
                <w:bCs w:val="false"/>
                <w:color w:val="000000"/>
                <w:sz w:val="20"/>
                <w:szCs w:val="20"/>
              </w:rPr>
              <w:t xml:space="preserve">19</w:t>
            </w:r>
          </w:p>
        </w:tc>
        <w:tc>
          <w:tcPr>
            <w:tcW w:type="dxa" w:w="3800"/>
            <w:tcMar>
              <w:top w:type="dxa" w:w="80"/>
              <w:left w:type="dxa" w:w="100"/>
              <w:bottom w:type="dxa" w:w="80"/>
              <w:right w:type="dxa" w:w="100"/>
            </w:tcMar>
            <w:vAlign w:val="center"/>
          </w:tcPr>
          <w:p>
            <w:r>
              <w:rPr>
                <w:b w:val="false"/>
                <w:bCs w:val="false"/>
                <w:color w:val="000000"/>
                <w:sz w:val="20"/>
                <w:szCs w:val="20"/>
              </w:rPr>
              <w:t xml:space="preserve">Exécution de la tâche de détection sans intervention humaine</w:t>
            </w:r>
          </w:p>
        </w:tc>
        <w:tc>
          <w:tcPr>
            <w:tcW w:type="dxa" w:w="5050"/>
            <w:tcMar>
              <w:top w:type="dxa" w:w="80"/>
              <w:left w:type="dxa" w:w="100"/>
              <w:bottom w:type="dxa" w:w="80"/>
              <w:right w:type="dxa" w:w="100"/>
            </w:tcMar>
            <w:vAlign w:val="center"/>
          </w:tcPr>
          <w:p>
            <w:r>
              <w:rPr>
                <w:b w:val="false"/>
                <w:bCs w:val="false"/>
                <w:color w:val="000000"/>
                <w:sz w:val="20"/>
                <w:szCs w:val="20"/>
              </w:rPr>
              <w:t xml:space="preserve">La tâche recalcule la clé de dérivation locale de façon autonome (4.4 quater), sans dépendance à Accounts ni à une session utilisateur active ; en cas d'anomalie (entité ou utilisateur référent supprimé), échec propre avec message exploitable plutôt qu'un plantage silencieux.</w:t>
            </w:r>
          </w:p>
        </w:tc>
      </w:tr>
      <w:tr>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20</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Perte d'accès prolongée à un provider (erreur de connexion)</w:t>
            </w:r>
          </w:p>
        </w:tc>
        <w:tc>
          <w:tcPr>
            <w:tcW w:type="dxa" w:w="5050"/>
            <w:shd w:fill="F2F2F2" w:val="clear"/>
            <w:tcMar>
              <w:top w:type="dxa" w:w="80"/>
              <w:left w:type="dxa" w:w="100"/>
              <w:bottom w:type="dxa" w:w="80"/>
              <w:right w:type="dxa" w:w="100"/>
            </w:tcMar>
            <w:vAlign w:val="center"/>
          </w:tcPr>
          <w:p>
            <w:r>
              <w:rPr>
                <w:b w:val="false"/>
                <w:bCs w:val="false"/>
                <w:color w:val="000000"/>
                <w:sz w:val="20"/>
                <w:szCs w:val="20"/>
              </w:rPr>
              <w:t xml:space="preserve">Le compteur de jours d'échec s'incrémente à chaque exécution en échec ; au seuil configuré, la notification "confirmation de maintien" est envoyée ; réponse "oui" → compteur réinitialisé ; réponse "non" (ou tenant confirmé disparu côté Acronis) → traitement de suppression standard (scénario 18) déclenché automatiquement.</w:t>
            </w:r>
          </w:p>
        </w:tc>
      </w:tr>
      <w:tr>
        <w:tc>
          <w:tcPr>
            <w:tcW w:type="dxa" w:w="500"/>
            <w:tcMar>
              <w:top w:type="dxa" w:w="80"/>
              <w:left w:type="dxa" w:w="100"/>
              <w:bottom w:type="dxa" w:w="80"/>
              <w:right w:type="dxa" w:w="100"/>
            </w:tcMar>
            <w:vAlign w:val="center"/>
          </w:tcPr>
          <w:p>
            <w:r>
              <w:rPr>
                <w:b w:val="false"/>
                <w:bCs w:val="false"/>
                <w:color w:val="000000"/>
                <w:sz w:val="20"/>
                <w:szCs w:val="20"/>
              </w:rPr>
              <w:t xml:space="preserve">21</w:t>
            </w:r>
          </w:p>
        </w:tc>
        <w:tc>
          <w:tcPr>
            <w:tcW w:type="dxa" w:w="3800"/>
            <w:tcMar>
              <w:top w:type="dxa" w:w="80"/>
              <w:left w:type="dxa" w:w="100"/>
              <w:bottom w:type="dxa" w:w="80"/>
              <w:right w:type="dxa" w:w="100"/>
            </w:tcMar>
            <w:vAlign w:val="center"/>
          </w:tcPr>
          <w:p>
            <w:r>
              <w:rPr>
                <w:b w:val="false"/>
                <w:bCs w:val="false"/>
                <w:color w:val="000000"/>
                <w:sz w:val="20"/>
                <w:szCs w:val="20"/>
              </w:rPr>
              <w:t xml:space="preserve">Changement d'entité ou d'utilisateur référent d'un provider</w:t>
            </w:r>
          </w:p>
        </w:tc>
        <w:tc>
          <w:tcPr>
            <w:tcW w:type="dxa" w:w="5050"/>
            <w:tcMar>
              <w:top w:type="dxa" w:w="80"/>
              <w:left w:type="dxa" w:w="100"/>
              <w:bottom w:type="dxa" w:w="80"/>
              <w:right w:type="dxa" w:w="100"/>
            </w:tcMar>
            <w:vAlign w:val="center"/>
          </w:tcPr>
          <w:p>
            <w:r>
              <w:rPr>
                <w:b w:val="false"/>
                <w:bCs w:val="false"/>
                <w:color w:val="000000"/>
                <w:sz w:val="20"/>
                <w:szCs w:val="20"/>
              </w:rPr>
              <w:t xml:space="preserve">Les identifiants API existants sont déchiffrés avec l'ancienne clé dérivée puis re-chiffrés avec la nouvelle (nouvelle entité et/ou nouvel utilisateur référent) avant validation du changement ; en cas d'échec du re-chiffrement, le changement est bloqué avec un message explicite plutôt que de risquer une perte silencieuse des identifiants (4.4 quater).</w:t>
            </w:r>
          </w:p>
        </w:tc>
      </w:tr>
    </w:tbl>
    <w:p>
      <w:pPr>
        <w:pStyle w:val="Heading2"/>
        <w:spacing w:after="150" w:before="300"/>
      </w:pPr>
      <w:r>
        <w:t xml:space="preserve">4. Critères d'acceptation Version 1</w:t>
      </w:r>
    </w:p>
    <w:p>
      <w:pPr>
        <w:pStyle w:val="ListParagraph"/>
        <w:numPr>
          <w:ilvl w:val="0"/>
          <w:numId w:val="1"/>
        </w:numPr>
        <w:spacing w:after="80"/>
      </w:pPr>
      <w:r>
        <w:t xml:space="preserve">Zéro identifiant ou mot de passe en clair dans les tables BackupGestion (contrôle par requête SQL dédiée, exécutée en recette).</w:t>
      </w:r>
    </w:p>
    <w:p>
      <w:pPr>
        <w:pStyle w:val="ListParagraph"/>
        <w:numPr>
          <w:ilvl w:val="0"/>
          <w:numId w:val="1"/>
        </w:numPr>
        <w:spacing w:after="80"/>
      </w:pPr>
      <w:r>
        <w:t xml:space="preserve">Affichage live complet du tenant de test sans erreur, avec un temps de réponse jugé raisonnable au vu de sa volumétrie (seuil à fixer après le jalon 0) ; exécution complète de la tâche de détection sans erreur.</w:t>
      </w:r>
    </w:p>
    <w:p>
      <w:pPr>
        <w:pStyle w:val="ListParagraph"/>
        <w:numPr>
          <w:ilvl w:val="0"/>
          <w:numId w:val="1"/>
        </w:numPr>
        <w:spacing w:after="80"/>
      </w:pPr>
      <w:r>
        <w:t xml:space="preserve">Taux de rattachement automatique mesuré et documenté (100 % non exigé, mais taux connu et mapping manuel opérationnel pour le reste).</w:t>
      </w:r>
    </w:p>
    <w:p>
      <w:pPr>
        <w:pStyle w:val="ListParagraph"/>
        <w:numPr>
          <w:ilvl w:val="0"/>
          <w:numId w:val="1"/>
        </w:numPr>
        <w:spacing w:after="80"/>
      </w:pPr>
      <w:r>
        <w:t xml:space="preserve">Aucune régression constatée sur les fonctionnalités GLPI standard (équipements, droits, recherche) après activation du plugin.</w:t>
      </w:r>
    </w:p>
    <w:p>
      <w:pPr>
        <w:pStyle w:val="Heading2"/>
        <w:spacing w:after="150" w:before="300"/>
      </w:pPr>
      <w:r>
        <w:t xml:space="preserve">5. Anticipation de la non-régression en Version 2</w:t>
      </w:r>
    </w:p>
    <w:p>
      <w:pPr>
        <w:spacing w:after="160"/>
      </w:pPr>
      <w:r>
        <w:t xml:space="preserve">Le contrat ProviderInterface est conçu dès la V1 pour accueillir les méthodes d'écriture de la V2 sans rupture. Les scénarios de recette V1 devront rester valides tels quels une fois l'écriture ajoutée — ils constitueront la base de la suite de non-régression pour la V2.</w:t>
      </w:r>
    </w:p>
    <w:p>
      <w:r>
        <w:br w:type="page"/>
      </w:r>
    </w:p>
    <w:p>
      <w:pPr>
        <w:pStyle w:val="Heading1"/>
        <w:spacing w:after="200" w:before="400"/>
      </w:pPr>
      <w:r>
        <w:t xml:space="preserve">Annexe — Sources techniques consultées</w:t>
      </w:r>
    </w:p>
    <w:p>
      <w:pPr>
        <w:pStyle w:val="ListParagraph"/>
        <w:numPr>
          <w:ilvl w:val="0"/>
          <w:numId w:val="1"/>
        </w:numPr>
        <w:spacing w:after="80"/>
      </w:pPr>
      <w:r>
        <w:t xml:space="preserve">Plugin GLPI Accounts (InfotelGLPI/accounts, GPL-2.0, compatible GLPI ~11.0) — github.com/InfotelGLPI/accounts</w:t>
      </w:r>
    </w:p>
    <w:p>
      <w:pPr>
        <w:pStyle w:val="ListParagraph"/>
        <w:numPr>
          <w:ilvl w:val="0"/>
          <w:numId w:val="1"/>
        </w:numPr>
        <w:spacing w:after="80"/>
      </w:pPr>
      <w:r>
        <w:t xml:space="preserve">Authentification à la plateforme Acronis (OAuth2, client_id/client_secret, POST /idp/token) — developer.acronis.com/doc/outbound/apis/authentication/authentication.html</w:t>
      </w:r>
    </w:p>
    <w:p>
      <w:pPr>
        <w:pStyle w:val="ListParagraph"/>
        <w:numPr>
          <w:ilvl w:val="0"/>
          <w:numId w:val="1"/>
        </w:numPr>
        <w:spacing w:after="80"/>
      </w:pPr>
      <w:r>
        <w:t xml:space="preserve">Acronis Resource Management API (ressources protégées, statuts) — developer.acronis.com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D97706"/>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2026-08-18T22:26:43.051Z</dcterms:created>
  <dcterms:modified xsi:type="dcterms:W3CDTF">2026-08-18T22:26:43.052Z</dcterms:modified>
</cp:coreProperties>
</file>

<file path=docProps/custom.xml><?xml version="1.0" encoding="utf-8"?>
<Properties xmlns="http://schemas.openxmlformats.org/officeDocument/2006/custom-properties" xmlns:vt="http://schemas.openxmlformats.org/officeDocument/2006/docPropsVTypes"/>
</file>