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30" w:after="30"/>
        <w:jc w:val="center"/>
      </w:pPr>
      <w:r>
        <w:rPr>
          <w:b/>
          <w:sz w:val="32"/>
        </w:rPr>
        <w:t>Лучшее из двух миров – гибридная роторная управляемая система</w:t>
      </w:r>
    </w:p>
    <w:p/>
    <w:p>
      <w:pPr>
        <w:spacing w:line="360" w:lineRule="auto" w:before="30" w:after="30"/>
        <w:jc w:val="center"/>
      </w:pPr>
      <w:r>
        <w:rPr>
          <w:b/>
          <w:sz w:val="32"/>
        </w:rPr>
        <w:t>Введение</w:t>
      </w:r>
    </w:p>
    <w:p>
      <w:pPr>
        <w:pStyle w:val="ListBullet"/>
        <w:spacing w:line="276" w:lineRule="auto" w:before="23" w:after="23"/>
        <w:jc w:val="both"/>
      </w:pPr>
      <w:r>
        <w:t xml:space="preserve">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p>
    <w:p>
      <w:pPr>
        <w:pStyle w:val="ListBullet"/>
        <w:spacing w:line="276" w:lineRule="auto" w:before="23" w:after="23"/>
        <w:jc w:val="both"/>
      </w:pPr>
      <w:r>
        <w:t>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w:t>
      </w:r>
      <w:r>
        <w:rPr>
          <w:b/>
          <w:sz w:val="20"/>
        </w:rPr>
        <w:t xml:space="preserve">[Изменяя расположение </w:t>
      </w:r>
      <w:r>
        <w:rPr>
          <w:b/>
          <w:sz w:val="20"/>
          <w:u w:val="single"/>
        </w:rPr>
        <w:hyperlink r:id="rId9">
          <w:r>
            <w:rPr>
              <w:color w:val="5177dd"/>
            </w:rPr>
            <w:t>стабилизатора</w:t>
          </w:r>
        </w:hyperlink>
      </w:r>
      <w:r>
        <w:rPr>
          <w:b/>
          <w:sz w:val="20"/>
        </w:rPr>
        <w:t>, бурильщики могут влиять на колонны, тем самым позволяя увеличивать, поддерживать или уменьшать угол наклона ствола скважины от вертикали.]</w:t>
      </w:r>
    </w:p>
    <w:p>
      <w:pPr>
        <w:spacing w:line="276" w:lineRule="auto" w:before="23" w:after="23"/>
        <w:jc w:val="both"/>
      </w:pPr>
      <w:r>
        <w:t xml:space="preserve">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w:t>
      </w:r>
      <w:r>
        <w:rPr>
          <w:b/>
          <w:sz w:val="20"/>
        </w:rPr>
        <w:t xml:space="preserve">[Ghbdtn? Rfr </w:t>
      </w:r>
      <w:r>
        <w:rPr>
          <w:b/>
          <w:sz w:val="20"/>
          <w:u w:val="single"/>
        </w:rPr>
        <w:hyperlink r:id="rId10">
          <w:r>
            <w:rPr>
              <w:color w:val="5177dd"/>
            </w:rPr>
            <w:t>ltkf</w:t>
          </w:r>
        </w:hyperlink>
      </w:r>
      <w:r>
        <w:rPr>
          <w:b/>
          <w:sz w:val="20"/>
        </w:rPr>
        <w:t xml:space="preserve"> 4werdfjgfudnff]</w:t>
      </w:r>
    </w:p>
    <w:sectPr w:rsidR="00FC693F" w:rsidRPr="0006063C" w:rsidSect="00034616">
      <w:headerReference w:type="default" r:id="rId11"/>
      <w:footerReference w:type="default" r:id="rId1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i/>
        <w:sz w:val="28"/>
      </w:rPr>
      <w:t>Верхний колонтитул</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playlist?list=PLYizQ5FvN6pvIOcOd6dFZu3lQqc6zBGp2" TargetMode="External"/><Relationship Id="rId10" Type="http://schemas.openxmlformats.org/officeDocument/2006/relationships/hyperlink" Target="https://pythontutor.com/visualize.html#mode=edit" TargetMode="Externa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