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30" w:after="30"/>
        <w:jc w:val="center"/>
      </w:pPr>
      <w:r>
        <w:rPr>
          <w:b/>
          <w:sz w:val="32"/>
        </w:rPr>
        <w:t>Лучшее из двух миров – гибридная роторная управляемая система</w:t>
      </w:r>
    </w:p>
    <w:p>
      <w:pPr>
        <w:spacing w:line="360" w:lineRule="auto" w:before="30" w:after="30"/>
        <w:jc w:val="center"/>
      </w:pPr>
      <w:r>
        <w:rPr>
          <w:b/>
          <w:sz w:val="32"/>
        </w:rPr>
      </w:r>
    </w:p>
    <w:p>
      <w:pPr>
        <w:spacing w:line="360" w:lineRule="auto" w:before="30" w:after="30"/>
        <w:jc w:val="center"/>
      </w:pPr>
      <w:r>
        <w:rPr>
          <w:b/>
          <w:sz w:val="32"/>
        </w:rPr>
        <w:t>Введение</w:t>
      </w:r>
    </w:p>
    <w:p>
      <w:pPr>
        <w:spacing w:line="276" w:lineRule="auto" w:before="23" w:after="23"/>
        <w:jc w:val="both"/>
      </w:pPr>
      <w:r>
        <w:t xml:space="preserve">            Переход от вертикального бурения к горизонтальному был стимулирован развитием технологий, которые привели отрасль от зависимости от традиционных забойных двигателей и силовых приводов к КНБК с роторными управляемыми системами. Последней инновацией является гибридная система, которая сочетает в себе эксплуатационные возможности поворотной управляемой системы с высокой производительностью забойного двигателя.</w:t>
      </w:r>
    </w:p>
    <w:p>
      <w:pPr>
        <w:spacing w:line="360" w:lineRule="auto" w:before="30" w:after="30"/>
        <w:jc w:val="center"/>
      </w:pPr>
      <w:r>
        <w:rPr>
          <w:b/>
          <w:sz w:val="32"/>
        </w:rPr>
      </w:r>
    </w:p>
    <w:p>
      <w:pPr>
        <w:spacing w:line="360" w:lineRule="auto" w:before="30" w:after="30"/>
        <w:jc w:val="center"/>
      </w:pPr>
      <w:r>
        <w:rPr>
          <w:b/>
          <w:sz w:val="32"/>
        </w:rPr>
        <w:t>Основная часть</w:t>
      </w:r>
    </w:p>
    <w:p>
      <w:pPr>
        <w:pStyle w:val="ListBullet"/>
        <w:spacing w:line="276" w:lineRule="auto" w:before="23" w:after="23"/>
        <w:jc w:val="both"/>
      </w:pPr>
      <w:r>
        <w:t xml:space="preserve">В этой статье описываются достижения, которые привели к разработке роторных управляемых систем, и основное внимание уделяется одному из последних этапов их эволюции: роторной управляемой системе PowerDrive Archer.  </w:t>
      </w:r>
    </w:p>
    <w:p>
      <w:pPr>
        <w:pStyle w:val="ListBullet"/>
        <w:spacing w:line="276" w:lineRule="auto" w:before="23" w:after="23"/>
        <w:jc w:val="both"/>
      </w:pPr>
      <w:r>
        <w:t>Эта гибридная система обеспечивает высокую скорость проходки колонны при высокой скорости получения информации о скважине в процессе бурения.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38"/>
        <w:gridCol w:w="1938"/>
        <w:gridCol w:w="1938"/>
        <w:gridCol w:w="1938"/>
        <w:gridCol w:w="1938"/>
      </w:tblGrid>
      <w:tr>
        <w:tc>
          <w:tcPr>
            <w:tcW w:type="dxa" w:w="1938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1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2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3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4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rPr>
                <w:b/>
                <w:sz w:val="32"/>
              </w:rPr>
              <w:t>5</w:t>
            </w:r>
          </w:p>
        </w:tc>
      </w:tr>
      <w:tr>
        <w:tc>
          <w:tcPr>
            <w:tcW w:type="dxa" w:w="1938"/>
            <w:vAlign w:val="center"/>
          </w:tcPr>
          <w:p>
            <w:pPr>
              <w:jc w:val="center"/>
            </w:pPr>
            <w:r>
              <w:t>ф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t>и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t>с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t>в</w:t>
            </w:r>
          </w:p>
        </w:tc>
        <w:tc>
          <w:tcPr>
            <w:tcW w:type="dxa" w:w="1938"/>
            <w:vAlign w:val="center"/>
          </w:tcPr>
          <w:p>
            <w:pPr>
              <w:jc w:val="center"/>
            </w:pPr>
            <w:r>
              <w:t>ш</w:t>
            </w:r>
          </w:p>
        </w:tc>
      </w:tr>
    </w:tbl>
    <w:p>
      <w:pPr>
        <w:spacing w:line="360" w:lineRule="auto" w:before="30" w:after="30"/>
        <w:jc w:val="center"/>
      </w:pPr>
      <w:r>
        <w:rPr>
          <w:b/>
          <w:sz w:val="32"/>
        </w:rPr>
      </w:r>
    </w:p>
    <w:sectPr w:rsidR="00FC693F" w:rsidRPr="0006063C" w:rsidSect="00034616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