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1B4F72"/>
          <w:sz w:val="56"/>
          <w:szCs w:val="56"/>
        </w:rPr>
        <w:t xml:space="preserve">Sky Omega / Mercury</w:t>
      </w:r>
    </w:p>
    <w:p>
      <w:pPr>
        <w:spacing w:after="120"/>
        <w:jc w:val="center"/>
      </w:pPr>
      <w:r>
        <w:rPr>
          <w:rFonts w:ascii="Arial" w:cs="Arial" w:eastAsia="Arial" w:hAnsi="Arial"/>
          <w:color w:val="2E86C1"/>
          <w:sz w:val="36"/>
          <w:szCs w:val="36"/>
        </w:rPr>
        <w:t xml:space="preserve">Cross-Substrate Architectural Analysis</w:t>
      </w:r>
    </w:p>
    <w:p>
      <w:pPr>
        <w:spacing w:after="600"/>
        <w:jc w:val="center"/>
      </w:pPr>
      <w:r>
        <w:rPr>
          <w:rFonts w:ascii="Arial" w:cs="Arial" w:eastAsia="Arial" w:hAnsi="Arial"/>
          <w:i/>
          <w:iCs/>
          <w:color w:val="5D6D7E"/>
          <w:sz w:val="24"/>
          <w:szCs w:val="24"/>
        </w:rPr>
        <w:t xml:space="preserve">Consolidated findings from four independent LLM evaluations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sz="0"/>
              <w:left w:val="none" w:sz="0"/>
              <w:bottom w:val="single" w:color="2E86C1" w:sz="3"/>
              <w:right w:val="none" w:sz="0"/>
            </w:tcBorders>
          </w:tcPr>
          <w:p/>
        </w:tc>
      </w:tr>
    </w:tbl>
    <w:p>
      <w:pPr>
        <w:spacing w:before="400" w:after="400"/>
      </w:pPr>
    </w:p>
    <w:p>
      <w:pPr>
        <w:spacing w:after="80"/>
        <w:jc w:val="center"/>
      </w:pPr>
      <w:r>
        <w:rPr>
          <w:rFonts w:ascii="Arial" w:cs="Arial" w:eastAsia="Arial" w:hAnsi="Arial"/>
          <w:b/>
          <w:bCs/>
          <w:color w:val="154360"/>
          <w:sz w:val="22"/>
          <w:szCs w:val="22"/>
        </w:rPr>
        <w:t xml:space="preserve">Evaluating Models</w:t>
      </w:r>
    </w:p>
    <w:p>
      <w:pPr>
        <w:spacing w:after="40"/>
        <w:jc w:val="center"/>
      </w:pPr>
      <w:r>
        <w:rPr>
          <w:rFonts w:ascii="Arial" w:cs="Arial" w:eastAsia="Arial" w:hAnsi="Arial"/>
          <w:color w:val="5D6D7E"/>
          <w:sz w:val="20"/>
          <w:szCs w:val="20"/>
        </w:rPr>
        <w:t xml:space="preserve">Claude 4.6 Opus  ·  Grok Code Fast 1  ·  GPT 5.2 Codex  ·  Gemini 3 Pro</w:t>
      </w:r>
    </w:p>
    <w:p>
      <w:pPr>
        <w:spacing w:before="800" w:after="800"/>
      </w:pPr>
    </w:p>
    <w:p>
      <w:pPr>
        <w:jc w:val="center"/>
      </w:pPr>
      <w:r>
        <w:rPr>
          <w:rFonts w:ascii="Arial" w:cs="Arial" w:eastAsia="Arial" w:hAnsi="Arial"/>
          <w:color w:val="5D6D7E"/>
          <w:sz w:val="20"/>
          <w:szCs w:val="20"/>
        </w:rPr>
        <w:t xml:space="preserve">Canyala Innovation AB  ·  February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Methodology and Context</w:t>
      </w:r>
    </w:p>
    <w:p>
      <w:pPr>
        <w:spacing w:after="160" w:line="276"/>
      </w:pPr>
      <w:r>
        <w:t xml:space="preserve">Four leading LLMs were given identical access to the Sky Omega repository within JetBrains Rider and issued the same prompt: </w:t>
      </w:r>
      <w:r>
        <w:rPr>
          <w:i/>
          <w:iCs/>
        </w:rPr>
        <w:t xml:space="preserve">"Make a thorough and deep analysis of the architectural and technical aspects, usefulness and long term implications of what this repository enables."</w:t>
      </w:r>
    </w:p>
    <w:p>
      <w:pPr>
        <w:spacing w:after="160" w:line="276"/>
      </w:pPr>
      <w:r>
        <w:t xml:space="preserve">Each model operated under the same constraints: read-only access to source code, documentation, ADRs, and configuration files. No model had access to a terminal, build system, or test runner. Their analyses therefore reflect what can be understood from the codebase and its documentation alone — a meaningful test of both the LLMs’ analytical capabilities and the repository’s self-documenting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0BEC5" w:sz="1"/>
              <w:left w:val="single" w:color="B0BEC5" w:sz="1"/>
              <w:bottom w:val="single" w:color="B0BEC5" w:sz="1"/>
              <w:right w:val="single" w:color="B0BEC5"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1400"/>
            <w:tcBorders>
              <w:top w:val="single" w:color="B0BEC5" w:sz="1"/>
              <w:left w:val="single" w:color="B0BEC5" w:sz="1"/>
              <w:bottom w:val="single" w:color="B0BEC5" w:sz="1"/>
              <w:right w:val="single" w:color="B0BEC5"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c>
          <w:tcPr>
            <w:tcW w:type="dxa" w:w="5360"/>
            <w:tcBorders>
              <w:top w:val="single" w:color="B0BEC5" w:sz="1"/>
              <w:left w:val="single" w:color="B0BEC5" w:sz="1"/>
              <w:bottom w:val="single" w:color="B0BEC5" w:sz="1"/>
              <w:right w:val="single" w:color="B0BEC5"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Character</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Claude 4.6 Opus</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~14K chars</w:t>
            </w:r>
          </w:p>
        </w:tc>
        <w:tc>
          <w:tcPr>
            <w:tcW w:type="dxa" w:w="5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Most technically precise; specific ADR references, exact test counts, architectural critique with ratings</w:t>
            </w:r>
          </w:p>
        </w:tc>
      </w:tr>
      <w:tr>
        <w:tc>
          <w:tcPr>
            <w:tcW w:type="dxa" w:w="2600"/>
            <w:tcBorders>
              <w:top w:val="single" w:color="B0BEC5" w:sz="1"/>
              <w:left w:val="single" w:color="B0BEC5" w:sz="1"/>
              <w:bottom w:val="single" w:color="B0BEC5" w:sz="1"/>
              <w:right w:val="single" w:color="B0BEC5" w:sz="1"/>
            </w:tcBorders>
            <w:shd w:fill="F2F4F4" w:val="clear"/>
            <w:tcMar>
              <w:top w:type="dxa" w:w="80"/>
              <w:left w:type="dxa" w:w="120"/>
              <w:bottom w:type="dxa" w:w="80"/>
              <w:right w:type="dxa" w:w="120"/>
            </w:tcMar>
            <w:vAlign w:val="center"/>
          </w:tcPr>
          <w:p>
            <w:r>
              <w:rPr>
                <w:rFonts w:ascii="Arial" w:cs="Arial" w:eastAsia="Arial" w:hAnsi="Arial"/>
                <w:sz w:val="20"/>
                <w:szCs w:val="20"/>
              </w:rPr>
              <w:t xml:space="preserve">Grok Code Fast 1</w:t>
            </w:r>
          </w:p>
        </w:tc>
        <w:tc>
          <w:tcPr>
            <w:tcW w:type="dxa" w:w="1400"/>
            <w:tcBorders>
              <w:top w:val="single" w:color="B0BEC5" w:sz="1"/>
              <w:left w:val="single" w:color="B0BEC5" w:sz="1"/>
              <w:bottom w:val="single" w:color="B0BEC5" w:sz="1"/>
              <w:right w:val="single" w:color="B0BEC5" w:sz="1"/>
            </w:tcBorders>
            <w:shd w:fill="F2F4F4" w:val="clear"/>
            <w:tcMar>
              <w:top w:type="dxa" w:w="80"/>
              <w:left w:type="dxa" w:w="120"/>
              <w:bottom w:type="dxa" w:w="80"/>
              <w:right w:type="dxa" w:w="120"/>
            </w:tcMar>
            <w:vAlign w:val="center"/>
          </w:tcPr>
          <w:p>
            <w:r>
              <w:rPr>
                <w:rFonts w:ascii="Arial" w:cs="Arial" w:eastAsia="Arial" w:hAnsi="Arial"/>
                <w:sz w:val="20"/>
                <w:szCs w:val="20"/>
              </w:rPr>
              <w:t xml:space="preserve">~12K chars</w:t>
            </w:r>
          </w:p>
        </w:tc>
        <w:tc>
          <w:tcPr>
            <w:tcW w:type="dxa" w:w="5360"/>
            <w:tcBorders>
              <w:top w:val="single" w:color="B0BEC5" w:sz="1"/>
              <w:left w:val="single" w:color="B0BEC5" w:sz="1"/>
              <w:bottom w:val="single" w:color="B0BEC5" w:sz="1"/>
              <w:right w:val="single" w:color="B0BEC5" w:sz="1"/>
            </w:tcBorders>
            <w:shd w:fill="F2F4F4" w:val="clear"/>
            <w:tcMar>
              <w:top w:type="dxa" w:w="80"/>
              <w:left w:type="dxa" w:w="120"/>
              <w:bottom w:type="dxa" w:w="80"/>
              <w:right w:type="dxa" w:w="120"/>
            </w:tcMar>
            <w:vAlign w:val="center"/>
          </w:tcPr>
          <w:p>
            <w:r>
              <w:rPr>
                <w:rFonts w:ascii="Arial" w:cs="Arial" w:eastAsia="Arial" w:hAnsi="Arial"/>
                <w:sz w:val="20"/>
                <w:szCs w:val="20"/>
              </w:rPr>
              <w:t xml:space="preserve">Most comprehensive coverage; systematic subsystem inventory with performance numbers</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Gemini 3 Pro</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~7K chars</w:t>
            </w:r>
          </w:p>
        </w:tc>
        <w:tc>
          <w:tcPr>
            <w:tcW w:type="dxa" w:w="5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Most narratively bold; biological metaphors, industry-positioning framings, strong conclusions</w:t>
            </w:r>
          </w:p>
        </w:tc>
      </w:tr>
      <w:tr>
        <w:tc>
          <w:tcPr>
            <w:tcW w:type="dxa" w:w="2600"/>
            <w:tcBorders>
              <w:top w:val="single" w:color="B0BEC5" w:sz="1"/>
              <w:left w:val="single" w:color="B0BEC5" w:sz="1"/>
              <w:bottom w:val="single" w:color="B0BEC5" w:sz="1"/>
              <w:right w:val="single" w:color="B0BEC5" w:sz="1"/>
            </w:tcBorders>
            <w:shd w:fill="F2F4F4" w:val="clear"/>
            <w:tcMar>
              <w:top w:type="dxa" w:w="80"/>
              <w:left w:type="dxa" w:w="120"/>
              <w:bottom w:type="dxa" w:w="80"/>
              <w:right w:type="dxa" w:w="120"/>
            </w:tcMar>
            <w:vAlign w:val="center"/>
          </w:tcPr>
          <w:p>
            <w:r>
              <w:rPr>
                <w:rFonts w:ascii="Arial" w:cs="Arial" w:eastAsia="Arial" w:hAnsi="Arial"/>
                <w:sz w:val="20"/>
                <w:szCs w:val="20"/>
              </w:rPr>
              <w:t xml:space="preserve">GPT 5.2 Codex</w:t>
            </w:r>
          </w:p>
        </w:tc>
        <w:tc>
          <w:tcPr>
            <w:tcW w:type="dxa" w:w="1400"/>
            <w:tcBorders>
              <w:top w:val="single" w:color="B0BEC5" w:sz="1"/>
              <w:left w:val="single" w:color="B0BEC5" w:sz="1"/>
              <w:bottom w:val="single" w:color="B0BEC5" w:sz="1"/>
              <w:right w:val="single" w:color="B0BEC5" w:sz="1"/>
            </w:tcBorders>
            <w:shd w:fill="F2F4F4" w:val="clear"/>
            <w:tcMar>
              <w:top w:type="dxa" w:w="80"/>
              <w:left w:type="dxa" w:w="120"/>
              <w:bottom w:type="dxa" w:w="80"/>
              <w:right w:type="dxa" w:w="120"/>
            </w:tcMar>
            <w:vAlign w:val="center"/>
          </w:tcPr>
          <w:p>
            <w:r>
              <w:rPr>
                <w:rFonts w:ascii="Arial" w:cs="Arial" w:eastAsia="Arial" w:hAnsi="Arial"/>
                <w:sz w:val="20"/>
                <w:szCs w:val="20"/>
              </w:rPr>
              <w:t xml:space="preserve">~6K chars</w:t>
            </w:r>
          </w:p>
        </w:tc>
        <w:tc>
          <w:tcPr>
            <w:tcW w:type="dxa" w:w="5360"/>
            <w:tcBorders>
              <w:top w:val="single" w:color="B0BEC5" w:sz="1"/>
              <w:left w:val="single" w:color="B0BEC5" w:sz="1"/>
              <w:bottom w:val="single" w:color="B0BEC5" w:sz="1"/>
              <w:right w:val="single" w:color="B0BEC5" w:sz="1"/>
            </w:tcBorders>
            <w:shd w:fill="F2F4F4" w:val="clear"/>
            <w:tcMar>
              <w:top w:type="dxa" w:w="80"/>
              <w:left w:type="dxa" w:w="120"/>
              <w:bottom w:type="dxa" w:w="80"/>
              <w:right w:type="dxa" w:w="120"/>
            </w:tcMar>
            <w:vAlign w:val="center"/>
          </w:tcPr>
          <w:p>
            <w:r>
              <w:rPr>
                <w:rFonts w:ascii="Arial" w:cs="Arial" w:eastAsia="Arial" w:hAnsi="Arial"/>
                <w:sz w:val="20"/>
                <w:szCs w:val="20"/>
              </w:rPr>
              <w:t xml:space="preserve">Most concise; clean structural summary, correct but shallow, strongest on dual-surface value</w:t>
            </w:r>
          </w:p>
        </w:tc>
      </w:tr>
    </w:tbl>
    <w:p>
      <w:pPr>
        <w:spacing w:before="100" w:after="100"/>
      </w:pPr>
    </w:p>
    <w:p>
      <w:pPr>
        <w:spacing w:after="160" w:line="276"/>
      </w:pPr>
      <w:r>
        <w:t xml:space="preserve">The convergence across four independent substrates is itself significant: all four identified the same core architectural properties, validated the same design decisions, and surfaced overlapping risk assessments — without coordination. This constitutes informal cross-substrate validation of the repository’s coherence.</w:t>
      </w:r>
    </w:p>
    <w:p>
      <w:r>
        <w:br w:type="page"/>
      </w:r>
    </w:p>
    <w:p>
      <w:pPr>
        <w:pStyle w:val="Heading1"/>
      </w:pPr>
      <w:r>
        <w:t xml:space="preserve">2. Converged Findings</w:t>
      </w:r>
    </w:p>
    <w:p>
      <w:pPr>
        <w:spacing w:after="160" w:line="276"/>
      </w:pPr>
      <w:r>
        <w:t xml:space="preserve">All four models independently identified and validated the following architectural properties as defining characteristics of the Sky Omega / Mercury system.</w:t>
      </w:r>
    </w:p>
    <w:p>
      <w:pPr>
        <w:pStyle w:val="Heading2"/>
      </w:pPr>
      <w:r>
        <w:t xml:space="preserve">2.1 Zero-Dependency Sovereignty</w:t>
      </w:r>
    </w:p>
    <w:p>
      <w:pPr>
        <w:spacing w:after="160" w:line="276"/>
      </w:pPr>
      <w:r>
        <w:t xml:space="preserve">Every model flagged the BCL-only constraint as a load-bearing architectural decision rather than a stylistic preference. Mercury’s csproj contains no PackageReference entries. The entire RDF storage engine, six format parsers and writers, a complete SPARQL 1.1 engine, WAL-based durability, B+Tree indexes, and an HTTP server are built on the .NET Base Class Library alone.</w:t>
      </w:r>
    </w:p>
    <w:p>
      <w:pPr>
        <w:spacing w:after="160" w:line="276"/>
      </w:pPr>
      <w:r>
        <w:t xml:space="preserve">The consensus on implications was remarkably consistent: zero supply-chain risk, zero version rot, full debuggability, and long-term compilation stability measured in decades rather than release cycles. As Claude noted, this is </w:t>
      </w:r>
      <w:r>
        <w:rPr>
          <w:i/>
          <w:iCs/>
        </w:rPr>
        <w:t xml:space="preserve">"rare in the RDF/SPARQL ecosystem, where libraries like dotNetRDF, Apache Jena, or Oxigraph all carry dependency trees."</w:t>
      </w:r>
      <w:r>
        <w:t xml:space="preserve"> Gemini captured the cost-benefit most crisply: the team must implement everything manually, but this </w:t>
      </w:r>
      <w:r>
        <w:rPr>
          <w:i/>
          <w:iCs/>
        </w:rPr>
        <w:t xml:space="preserve">"increases maintenance effort but also strategic control."</w:t>
      </w:r>
    </w:p>
    <w:p>
      <w:pPr>
        <w:pStyle w:val="Heading2"/>
      </w:pPr>
      <w:r>
        <w:t xml:space="preserve">2.2 Zero-GC as Correctness Strategy</w:t>
      </w:r>
    </w:p>
    <w:p>
      <w:pPr>
        <w:spacing w:after="160" w:line="276"/>
      </w:pPr>
      <w:r>
        <w:t xml:space="preserve">All models recognized that the zero-GC philosophy extends beyond performance optimization into architectural discipline. The techniques are consistent across analyses: ref struct parsers, ArrayPool&lt;T&gt; leasing, ReadOnlySpan&lt;char&gt; for string operations, callback-based APIs where spans are valid only during callbacks, and string interning via the AtomStore at the storage boundary.</w:t>
      </w:r>
    </w:p>
    <w:p>
      <w:pPr>
        <w:spacing w:after="160" w:line="276"/>
      </w:pPr>
      <w:r>
        <w:t xml:space="preserve">Claude identified the deeper purpose most clearly: this is a </w:t>
      </w:r>
      <w:r>
        <w:rPr>
          <w:i/>
          <w:iCs/>
        </w:rPr>
        <w:t xml:space="preserve">"correctness strategy for a system intended to run inside AI agent loops,"</w:t>
      </w:r>
      <w:r>
        <w:t xml:space="preserve"> where GC pauses would introduce unpredictable latency into cognitive operations. Gemini offered the strongest industry framing: Sky Omega </w:t>
      </w:r>
      <w:r>
        <w:rPr>
          <w:i/>
          <w:iCs/>
        </w:rPr>
        <w:t xml:space="preserve">"treats C# as a systems language, similar to Rust or C++,"</w:t>
      </w:r>
      <w:r>
        <w:t xml:space="preserve"> proving that </w:t>
      </w:r>
      <w:r>
        <w:rPr>
          <w:i/>
          <w:iCs/>
        </w:rPr>
        <w:t xml:space="preserve">"managed runtimes can compete with C++/Rust in low-latency domains if the developer exercises strict discipline over memory layout."</w:t>
      </w:r>
    </w:p>
    <w:p>
      <w:pPr>
        <w:pStyle w:val="Heading2"/>
      </w:pPr>
      <w:r>
        <w:t xml:space="preserve">2.3 W3C Conformance as Trust Anchor</w:t>
      </w:r>
    </w:p>
    <w:p>
      <w:pPr>
        <w:spacing w:after="160" w:line="276"/>
      </w:pPr>
      <w:r>
        <w:t xml:space="preserve">All four models treated the W3C SPARQL 1.1 conformance achievement as a credibility marker that elevates Mercury from research project to production-grade infrastructure. Achieving full conformance in a zero-dependency, single-architect project was noted by multiple models as remarkable.</w:t>
      </w:r>
    </w:p>
    <w:p>
      <w:pPr>
        <w:spacing w:after="160" w:line="276"/>
      </w:pPr>
      <w:r>
        <w:t xml:space="preserve">Gemini framed this as a </w:t>
      </w:r>
      <w:r>
        <w:rPr>
          <w:i/>
          <w:iCs/>
        </w:rPr>
        <w:t xml:space="preserve">"moat"</w:t>
      </w:r>
      <w:r>
        <w:t xml:space="preserve"> — conformance requires implementing a full compiler pipeline from tokenizer through parser, algebra, optimizer, and execution. This level of standards compliance ensures interoperability with the broader semantic web ecosystem and makes the engine usable in real RDF pipelines, not merely as a research artifact.</w:t>
      </w:r>
    </w:p>
    <w:p>
      <w:pPr>
        <w:pStyle w:val="Heading2"/>
      </w:pPr>
      <w:r>
        <w:t xml:space="preserve">2.4 Bitemporal Storage as Epistemic Infrastructure</w:t>
      </w:r>
    </w:p>
    <w:p>
      <w:pPr>
        <w:spacing w:after="160" w:line="276"/>
      </w:pPr>
      <w:r>
        <w:t xml:space="preserve">Every quad in Mercury carries ValidFrom, ValidTo, and TransactionTime — a full bitemporal model. All four analyses recognized this as unusual among RDF stores, where most treat data as current-state-only.</w:t>
      </w:r>
    </w:p>
    <w:p>
      <w:pPr>
        <w:spacing w:after="160" w:line="276"/>
      </w:pPr>
      <w:r>
        <w:t xml:space="preserve">Claude articulated the cognitive significance most precisely: the temporal dimension is critical for the planned cognitive architecture because </w:t>
      </w:r>
      <w:r>
        <w:rPr>
          <w:i/>
          <w:iCs/>
        </w:rPr>
        <w:t xml:space="preserve">"an agent needs to distinguish between ‘what I believed then’ and ‘what I believe now.’ This is epistemics encoded in the storage model."</w:t>
      </w:r>
      <w:r>
        <w:t xml:space="preserve"> Gemini connected this to protocol-level data longevity: </w:t>
      </w:r>
      <w:r>
        <w:rPr>
          <w:i/>
          <w:iCs/>
        </w:rPr>
        <w:t xml:space="preserve">"Vector embeddings are opaque and model-dependent; RDF triples are explicit and universal. This ensures the Knowledge layer survives even if the Thought layer changes."</w:t>
      </w:r>
    </w:p>
    <w:p>
      <w:pPr>
        <w:pStyle w:val="Heading2"/>
      </w:pPr>
      <w:r>
        <w:t xml:space="preserve">2.5 Substrate-First Architecture</w:t>
      </w:r>
    </w:p>
    <w:p>
      <w:pPr>
        <w:spacing w:after="160" w:line="276"/>
      </w:pPr>
      <w:r>
        <w:t xml:space="preserve">All models recognized the deliberate sequencing: deterministic substrates first (Mercury v1.x), cognitive nondeterminism second (v2.0+). GPT’s label for this pattern — </w:t>
      </w:r>
      <w:r>
        <w:rPr>
          <w:i/>
          <w:iCs/>
        </w:rPr>
        <w:t xml:space="preserve">"substrate-first design"</w:t>
      </w:r>
      <w:r>
        <w:t xml:space="preserve"> — captures it cleanly. As GPT noted, this is </w:t>
      </w:r>
      <w:r>
        <w:rPr>
          <w:i/>
          <w:iCs/>
        </w:rPr>
        <w:t xml:space="preserve">"a deliberate inversion of common AI system design"</w:t>
      </w:r>
      <w:r>
        <w:t xml:space="preserve"> that gives the stack a more deterministic, testable base. The practical consequence, noted by Grok, is that Mercury provides production value immediately while the cognitive architecture remains a well-sequenced future objective.</w:t>
      </w:r>
    </w:p>
    <w:p>
      <w:r>
        <w:br w:type="page"/>
      </w:r>
    </w:p>
    <w:p>
      <w:pPr>
        <w:pStyle w:val="Heading1"/>
      </w:pPr>
      <w:r>
        <w:t xml:space="preserve">3. Substrate-Specific Insights</w:t>
      </w:r>
    </w:p>
    <w:p>
      <w:pPr>
        <w:spacing w:after="160" w:line="276"/>
      </w:pPr>
      <w:r>
        <w:t xml:space="preserve">Beyond the converged findings, each model surfaced unique observations reflecting its particular analytical strengths. These represent the highest-value additions that a single analysis would likely miss.</w:t>
      </w:r>
    </w:p>
    <w:p>
      <w:pPr>
        <w:pStyle w:val="Heading2"/>
      </w:pPr>
      <w:r>
        <w:t xml:space="preserve">3.1 Claude 4.6 Opus: Documentation as Knowledge Transfer at Rest</w:t>
      </w:r>
    </w:p>
    <w:p>
      <w:pPr>
        <w:spacing w:after="160" w:line="276"/>
      </w:pPr>
      <w:r>
        <w:t xml:space="preserve">Claude’s most distinctive insight addresses the bus-factor risk that all models identified: </w:t>
      </w:r>
      <w:r>
        <w:rPr>
          <w:i/>
          <w:iCs/>
        </w:rPr>
        <w:t xml:space="preserve">"The AI-readable documentation is itself a form of ‘knowledge transfer at rest.’"</w:t>
      </w:r>
      <w:r>
        <w:t xml:space="preserve"> This reframes CLAUDE.md, AI.md, and the ADR chain not as developer convenience but as architectural artifacts — executable specifications that allow any LLM substrate to orient itself within the codebase. The documentation doesn’t just describe the system; it enables new agents to reason about and contribute to it.</w:t>
      </w:r>
    </w:p>
    <w:p>
      <w:pPr>
        <w:spacing w:after="160" w:line="276"/>
      </w:pPr>
      <w:r>
        <w:t xml:space="preserve">Claude also provided the most granular technical engagement, correctly identifying specific ADR numbers, the stack reduction story from ADR-011 (89KB to 6KB), and the pruning system’s copy-and-switch pattern with its disk-space tradeoff. This level of precision suggests that the repository’s documentation density rewards careful reading.</w:t>
      </w:r>
    </w:p>
    <w:p>
      <w:pPr>
        <w:pStyle w:val="Heading2"/>
      </w:pPr>
      <w:r>
        <w:t xml:space="preserve">3.2 Grok Code Fast 1: Quantitative Performance Characterization</w:t>
      </w:r>
    </w:p>
    <w:p>
      <w:pPr>
        <w:spacing w:after="160" w:line="276"/>
      </w:pPr>
      <w:r>
        <w:t xml:space="preserve">Grok was the only model to surface specific performance numbers: approximately 100,000 triples per second batch write throughput versus approximately 300 per second for single writes, and 5–50x improvement from filter pushdown via the FilterAnalyzer. These figures give the analysis quantitative teeth that the other models’ qualitative assessments lack.</w:t>
      </w:r>
    </w:p>
    <w:p>
      <w:pPr>
        <w:spacing w:after="160" w:line="276"/>
      </w:pPr>
      <w:r>
        <w:t xml:space="preserve">Grok also correctly identified that the cognitive layer depends on </w:t>
      </w:r>
      <w:r>
        <w:rPr>
          <w:i/>
          <w:iCs/>
        </w:rPr>
        <w:t xml:space="preserve">emergence from component interaction</w:t>
      </w:r>
      <w:r>
        <w:t xml:space="preserve"> rather than explicit programming — a distinction the other models acknowledged but didn’t emphasize as strongly. The explicit mapping of each component’s metaphorical grounding (Sky as no-ceiling persona, Mercury as messenger, Lucy as origin of structured recall) was the most complete across all four analyses.</w:t>
      </w:r>
    </w:p>
    <w:p>
      <w:pPr>
        <w:pStyle w:val="Heading2"/>
      </w:pPr>
      <w:r>
        <w:t xml:space="preserve">3.3 Gemini 3 Pro: Narrative Positioning and the Self-Maintaining System</w:t>
      </w:r>
    </w:p>
    <w:p>
      <w:pPr>
        <w:spacing w:after="160" w:line="276"/>
      </w:pPr>
      <w:r>
        <w:t xml:space="preserve">Gemini produced the boldest long-term implication: by documenting its own architecture in machine-readable formats and providing structured memory, Sky Omega is </w:t>
      </w:r>
      <w:r>
        <w:rPr>
          <w:i/>
          <w:iCs/>
        </w:rPr>
        <w:t xml:space="preserve">"building the scaffolding for an AI that can reason about and modify its own source code with high competence."</w:t>
      </w:r>
      <w:r>
        <w:t xml:space="preserve"> This observation about self-maintenance potential is well-grounded in the repository’s actual structure rather than speculative.</w:t>
      </w:r>
    </w:p>
    <w:p>
      <w:pPr>
        <w:spacing w:after="160" w:line="276"/>
      </w:pPr>
      <w:r>
        <w:t xml:space="preserve">Gemini also contributed the most portable framings for different audiences. The characterization of Mercury as </w:t>
      </w:r>
      <w:r>
        <w:rPr>
          <w:i/>
          <w:iCs/>
        </w:rPr>
        <w:t xml:space="preserve">"SQLite for Knowledge Graphs"</w:t>
      </w:r>
      <w:r>
        <w:t xml:space="preserve"> is immediately accessible to any developer. The </w:t>
      </w:r>
      <w:r>
        <w:rPr>
          <w:i/>
          <w:iCs/>
        </w:rPr>
        <w:t xml:space="preserve">"Return of Systems .NET"</w:t>
      </w:r>
      <w:r>
        <w:t xml:space="preserve"> framing positions the project within the .NET community’s ongoing evolution. The biological analogy — Mercury as hippocampus, Minerva as frontal lobe — provides entry points for non-specialist audiences, though this framing is Gemini’s interpretive addition rather than the repository’s own vocabulary.</w:t>
      </w:r>
    </w:p>
    <w:p>
      <w:pPr>
        <w:pStyle w:val="Heading2"/>
      </w:pPr>
      <w:r>
        <w:t xml:space="preserve">3.4 GPT 5.2 Codex: Dual-Surface Multiplier</w:t>
      </w:r>
    </w:p>
    <w:p>
      <w:pPr>
        <w:spacing w:after="160" w:line="276"/>
      </w:pPr>
      <w:r>
        <w:t xml:space="preserve">GPT’s most useful contribution was identifying the CLI plus MCP surface layer as a </w:t>
      </w:r>
      <w:r>
        <w:rPr>
          <w:i/>
          <w:iCs/>
        </w:rPr>
        <w:t xml:space="preserve">"big multiplier"</w:t>
      </w:r>
      <w:r>
        <w:t xml:space="preserve">: the same engine serves both human workflows and agent workflows through the same standards-compliant interface. While the other models noted MCP integration, GPT articulated why dual-mode matters — it elevates the system from library to developer-ready infrastructure without requiring separate deployment pipelines.</w:t>
      </w:r>
    </w:p>
    <w:p>
      <w:pPr>
        <w:spacing w:after="160" w:line="276"/>
      </w:pPr>
      <w:r>
        <w:t xml:space="preserve">GPT also produced the cleanest structural label for the v1.x to v2.x strategy: </w:t>
      </w:r>
      <w:r>
        <w:rPr>
          <w:i/>
          <w:iCs/>
        </w:rPr>
        <w:t xml:space="preserve">"substrate-first design"</w:t>
      </w:r>
      <w:r>
        <w:t xml:space="preserve"> where lower layers are made rock-solid before cognition is introduced. This phrase is worth adopting in Sky Omega’s own documentation.</w:t>
      </w:r>
    </w:p>
    <w:p>
      <w:r>
        <w:br w:type="page"/>
      </w:r>
    </w:p>
    <w:p>
      <w:pPr>
        <w:pStyle w:val="Heading1"/>
      </w:pPr>
      <w:r>
        <w:t xml:space="preserve">4. Converged Risk Assessment</w:t>
      </w:r>
    </w:p>
    <w:p>
      <w:pPr>
        <w:spacing w:after="160" w:line="276"/>
      </w:pPr>
      <w:r>
        <w:t xml:space="preserve">The four models identified a consistent set of risks and tensions. Their convergence on the same concerns, independently, suggests these are genuine architectural considerations rather than artifacts of a single model’s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BEC5" w:sz="1"/>
              <w:left w:val="single" w:color="B0BEC5" w:sz="1"/>
              <w:bottom w:val="single" w:color="B0BEC5" w:sz="1"/>
              <w:right w:val="single" w:color="B0BEC5"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3680"/>
            <w:tcBorders>
              <w:top w:val="single" w:color="B0BEC5" w:sz="1"/>
              <w:left w:val="single" w:color="B0BEC5" w:sz="1"/>
              <w:bottom w:val="single" w:color="B0BEC5" w:sz="1"/>
              <w:right w:val="single" w:color="B0BEC5"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c>
          <w:tcPr>
            <w:tcW w:type="dxa" w:w="3680"/>
            <w:tcBorders>
              <w:top w:val="single" w:color="B0BEC5" w:sz="1"/>
              <w:left w:val="single" w:color="B0BEC5" w:sz="1"/>
              <w:bottom w:val="single" w:color="B0BEC5" w:sz="1"/>
              <w:right w:val="single" w:color="B0BEC5"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Noted</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Bus factor</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Single architect plus AI assistants concentrates institutional knowledge</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ADR discipline, CLAUDE.md, AI.md, and machine-readable docs serve as knowledge transfer at rest</w:t>
            </w:r>
          </w:p>
        </w:tc>
      </w:tr>
      <w:tr>
        <w:tc>
          <w:tcPr>
            <w:tcW w:type="dxa" w:w="2000"/>
            <w:tcBorders>
              <w:top w:val="single" w:color="B0BEC5" w:sz="1"/>
              <w:left w:val="single" w:color="B0BEC5" w:sz="1"/>
              <w:bottom w:val="single" w:color="B0BEC5" w:sz="1"/>
              <w:right w:val="single" w:color="B0BEC5" w:sz="1"/>
            </w:tcBorders>
            <w:shd w:fill="F2F4F4" w:val="clear"/>
            <w:tcMar>
              <w:top w:type="dxa" w:w="80"/>
              <w:left w:type="dxa" w:w="120"/>
              <w:bottom w:type="dxa" w:w="80"/>
              <w:right w:type="dxa" w:w="120"/>
            </w:tcMar>
            <w:vAlign w:val="center"/>
          </w:tcPr>
          <w:p>
            <w:r>
              <w:rPr>
                <w:rFonts w:ascii="Arial" w:cs="Arial" w:eastAsia="Arial" w:hAnsi="Arial"/>
                <w:sz w:val="20"/>
                <w:szCs w:val="20"/>
              </w:rPr>
              <w:t xml:space="preserve">Minerva gap</w:t>
            </w:r>
          </w:p>
        </w:tc>
        <w:tc>
          <w:tcPr>
            <w:tcW w:type="dxa" w:w="3680"/>
            <w:tcBorders>
              <w:top w:val="single" w:color="B0BEC5" w:sz="1"/>
              <w:left w:val="single" w:color="B0BEC5" w:sz="1"/>
              <w:bottom w:val="single" w:color="B0BEC5" w:sz="1"/>
              <w:right w:val="single" w:color="B0BEC5" w:sz="1"/>
            </w:tcBorders>
            <w:shd w:fill="F2F4F4" w:val="clear"/>
            <w:tcMar>
              <w:top w:type="dxa" w:w="80"/>
              <w:left w:type="dxa" w:w="120"/>
              <w:bottom w:type="dxa" w:w="80"/>
              <w:right w:type="dxa" w:w="120"/>
            </w:tcMar>
            <w:vAlign w:val="center"/>
          </w:tcPr>
          <w:p>
            <w:r>
              <w:rPr>
                <w:rFonts w:ascii="Arial" w:cs="Arial" w:eastAsia="Arial" w:hAnsi="Arial"/>
                <w:sz w:val="20"/>
                <w:szCs w:val="20"/>
              </w:rPr>
              <w:t xml:space="preserve">Local inference substrate is the most technically ambitious planned component and remains unshipped</w:t>
            </w:r>
          </w:p>
        </w:tc>
        <w:tc>
          <w:tcPr>
            <w:tcW w:type="dxa" w:w="3680"/>
            <w:tcBorders>
              <w:top w:val="single" w:color="B0BEC5" w:sz="1"/>
              <w:left w:val="single" w:color="B0BEC5" w:sz="1"/>
              <w:bottom w:val="single" w:color="B0BEC5" w:sz="1"/>
              <w:right w:val="single" w:color="B0BEC5" w:sz="1"/>
            </w:tcBorders>
            <w:shd w:fill="F2F4F4" w:val="clear"/>
            <w:tcMar>
              <w:top w:type="dxa" w:w="80"/>
              <w:left w:type="dxa" w:w="120"/>
              <w:bottom w:type="dxa" w:w="80"/>
              <w:right w:type="dxa" w:w="120"/>
            </w:tcMar>
            <w:vAlign w:val="center"/>
          </w:tcPr>
          <w:p>
            <w:r>
              <w:rPr>
                <w:rFonts w:ascii="Arial" w:cs="Arial" w:eastAsia="Arial" w:hAnsi="Arial"/>
                <w:sz w:val="20"/>
                <w:szCs w:val="20"/>
              </w:rPr>
              <w:t xml:space="preserve">Cognitive vision is explicitly deferred and well-sequenced; Mercury delivers standalone value now</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Onboarding curve</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Zero-GC and BCL-only constraints require specialized knowledge from potential contributors</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Contributing guidelines, EEE methodology documentation, and AI-readable specs lower the barrier for LLM-assisted contribution</w:t>
            </w:r>
          </w:p>
        </w:tc>
      </w:tr>
      <w:tr>
        <w:tc>
          <w:tcPr>
            <w:tcW w:type="dxa" w:w="2000"/>
            <w:tcBorders>
              <w:top w:val="single" w:color="B0BEC5" w:sz="1"/>
              <w:left w:val="single" w:color="B0BEC5" w:sz="1"/>
              <w:bottom w:val="single" w:color="B0BEC5" w:sz="1"/>
              <w:right w:val="single" w:color="B0BEC5" w:sz="1"/>
            </w:tcBorders>
            <w:shd w:fill="F2F4F4" w:val="clear"/>
            <w:tcMar>
              <w:top w:type="dxa" w:w="80"/>
              <w:left w:type="dxa" w:w="120"/>
              <w:bottom w:type="dxa" w:w="80"/>
              <w:right w:type="dxa" w:w="120"/>
            </w:tcMar>
            <w:vAlign w:val="center"/>
          </w:tcPr>
          <w:p>
            <w:r>
              <w:rPr>
                <w:rFonts w:ascii="Arial" w:cs="Arial" w:eastAsia="Arial" w:hAnsi="Arial"/>
                <w:sz w:val="20"/>
                <w:szCs w:val="20"/>
              </w:rPr>
              <w:t xml:space="preserve">SPARQL as AI interface</w:t>
            </w:r>
          </w:p>
        </w:tc>
        <w:tc>
          <w:tcPr>
            <w:tcW w:type="dxa" w:w="3680"/>
            <w:tcBorders>
              <w:top w:val="single" w:color="B0BEC5" w:sz="1"/>
              <w:left w:val="single" w:color="B0BEC5" w:sz="1"/>
              <w:bottom w:val="single" w:color="B0BEC5" w:sz="1"/>
              <w:right w:val="single" w:color="B0BEC5" w:sz="1"/>
            </w:tcBorders>
            <w:shd w:fill="F2F4F4" w:val="clear"/>
            <w:tcMar>
              <w:top w:type="dxa" w:w="80"/>
              <w:left w:type="dxa" w:w="120"/>
              <w:bottom w:type="dxa" w:w="80"/>
              <w:right w:type="dxa" w:w="120"/>
            </w:tcMar>
            <w:vAlign w:val="center"/>
          </w:tcPr>
          <w:p>
            <w:r>
              <w:rPr>
                <w:rFonts w:ascii="Arial" w:cs="Arial" w:eastAsia="Arial" w:hAnsi="Arial"/>
                <w:sz w:val="20"/>
                <w:szCs w:val="20"/>
              </w:rPr>
              <w:t xml:space="preserve">Contrarian bet versus vector search and simpler key-value stores favored by most AI memory systems</w:t>
            </w:r>
          </w:p>
        </w:tc>
        <w:tc>
          <w:tcPr>
            <w:tcW w:type="dxa" w:w="3680"/>
            <w:tcBorders>
              <w:top w:val="single" w:color="B0BEC5" w:sz="1"/>
              <w:left w:val="single" w:color="B0BEC5" w:sz="1"/>
              <w:bottom w:val="single" w:color="B0BEC5" w:sz="1"/>
              <w:right w:val="single" w:color="B0BEC5" w:sz="1"/>
            </w:tcBorders>
            <w:shd w:fill="F2F4F4" w:val="clear"/>
            <w:tcMar>
              <w:top w:type="dxa" w:w="80"/>
              <w:left w:type="dxa" w:w="120"/>
              <w:bottom w:type="dxa" w:w="80"/>
              <w:right w:type="dxa" w:w="120"/>
            </w:tcMar>
            <w:vAlign w:val="center"/>
          </w:tcPr>
          <w:p>
            <w:r>
              <w:rPr>
                <w:rFonts w:ascii="Arial" w:cs="Arial" w:eastAsia="Arial" w:hAnsi="Arial"/>
                <w:sz w:val="20"/>
                <w:szCs w:val="20"/>
              </w:rPr>
              <w:t xml:space="preserve">Precision, composability, and standards compliance offset the learning curve; MCP integration abstracts SPARQL from end users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Scale ceiling</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Single-process architecture has limits at billion-triple scale</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Target use case of per-user and per-agent knowledge graphs is unlikely to reach this ceiling; Pi 5 cluster exploration addresses distribution</w:t>
            </w:r>
          </w:p>
        </w:tc>
      </w:tr>
    </w:tbl>
    <w:p>
      <w:pPr>
        <w:spacing w:before="100" w:after="100"/>
      </w:pPr>
    </w:p>
    <w:p>
      <w:pPr>
        <w:spacing w:after="160" w:line="276"/>
      </w:pPr>
      <w:r>
        <w:t xml:space="preserve">Notably, no model identified fundamental architectural flaws. The risks are tensions inherent in deliberate design tradeoffs rather than oversights or deficiencies. Each risk has a corresponding mitigation that the repository’s own architecture addresses, whether through documentation discipline, explicit sequencing, or scope constraints.</w:t>
      </w:r>
    </w:p>
    <w:p>
      <w:r>
        <w:br w:type="page"/>
      </w:r>
    </w:p>
    <w:p>
      <w:pPr>
        <w:pStyle w:val="Heading1"/>
      </w:pPr>
      <w:r>
        <w:t xml:space="preserve">5. The Meta-Finding: EEE and Substrate Independence</w:t>
      </w:r>
    </w:p>
    <w:p>
      <w:pPr>
        <w:spacing w:after="160" w:line="276"/>
      </w:pPr>
      <w:r>
        <w:t xml:space="preserve">This exercise itself constitutes evidence for one of Sky Omega’s core theoretical claims: that epistemic structure works universally across LLM substrates.</w:t>
      </w:r>
    </w:p>
    <w:p>
      <w:pPr>
        <w:spacing w:after="160" w:line="276"/>
      </w:pPr>
      <w:r>
        <w:t xml:space="preserve">Four different models — built by four different organizations with different training data, architectures, and optimization targets — were given the same codebase and the same prompt. They converged on the same architectural assessment. They identified the same strengths, the same risks, and the same long-term implications. Where they diverged, it was in emphasis and framing, not in factual disagreement.</w:t>
      </w:r>
    </w:p>
    <w:p>
      <w:pPr>
        <w:spacing w:after="160" w:line="276"/>
      </w:pPr>
      <w:r>
        <w:t xml:space="preserve">This convergence is not trivially explained by the models all having been trained on the same RDF or SPARQL literature. The analyses engage with Sky Omega’s specific design decisions: the zero-dependency constraint, the component metaphors, the EEE methodology, the bitemporal storage model, the ADR chain. These are repository-specific observations, not generic RDF knowledge.</w:t>
      </w:r>
    </w:p>
    <w:p>
      <w:pPr>
        <w:spacing w:after="160" w:line="276"/>
      </w:pPr>
      <w:r>
        <w:t xml:space="preserve">The practical implication is significant: the repository’s self-documenting architecture — its CLAUDE.md, AI.md, ADR chain, contributing guidelines, and semantically-named code — is legible to any sufficiently capable LLM. The documentation is substrate-independent. Any future AI collaborator can orient itself within the codebase and reason about its architecture without model-specific tuning.</w:t>
      </w:r>
    </w:p>
    <w:p>
      <w:pPr>
        <w:spacing w:after="160" w:line="276"/>
      </w:pPr>
      <w:r>
        <w:t xml:space="preserve">This validates the EEE principle that has been tested across ChatGPT, Claude, Gemini, and Grok: the epistemic structure is portable, not model-specific. The articles themselves become evidence for the methodology they describe.</w:t>
      </w:r>
    </w:p>
    <w:p>
      <w:r>
        <w:br w:type="page"/>
      </w:r>
    </w:p>
    <w:p>
      <w:pPr>
        <w:pStyle w:val="Heading1"/>
      </w:pPr>
      <w:r>
        <w:t xml:space="preserve">6. Strategic Applications</w:t>
      </w:r>
    </w:p>
    <w:p>
      <w:pPr>
        <w:spacing w:after="160" w:line="276"/>
      </w:pPr>
      <w:r>
        <w:t xml:space="preserve">The four analyses, individually and collectively, serve several concrete purposes for Sky Omega’s development and positioning.</w:t>
      </w:r>
    </w:p>
    <w:p>
      <w:pPr>
        <w:pStyle w:val="Heading2"/>
      </w:pPr>
      <w:r>
        <w:t xml:space="preserve">6.1 Workshop Material</w:t>
      </w:r>
    </w:p>
    <w:p>
      <w:pPr>
        <w:spacing w:after="160" w:line="276"/>
      </w:pPr>
      <w:r>
        <w:t xml:space="preserve">For VGR workshops and non-specialist audiences, Gemini’s framings provide the most accessible entry points. The characterization of Mercury as a </w:t>
      </w:r>
      <w:r>
        <w:rPr>
          <w:i/>
          <w:iCs/>
        </w:rPr>
        <w:t xml:space="preserve">"SQLite for Knowledge Graphs"</w:t>
      </w:r>
      <w:r>
        <w:t xml:space="preserve"> immediately communicates the value proposition without requiring RDF literacy. The biological metaphors — while not the project’s own vocabulary — help audiences unfamiliar with cognitive architecture understand the component relationships.</w:t>
      </w:r>
    </w:p>
    <w:p>
      <w:pPr>
        <w:spacing w:after="160" w:line="276"/>
      </w:pPr>
      <w:r>
        <w:t xml:space="preserve">The convergence story itself is a powerful workshop narrative: </w:t>
      </w:r>
      <w:r>
        <w:rPr>
          <w:i/>
          <w:iCs/>
        </w:rPr>
        <w:t xml:space="preserve">"We gave four competing AI systems the same codebase. They all agreed on what it is, what it does, and why it matters."</w:t>
      </w:r>
      <w:r>
        <w:t xml:space="preserve"> This demonstrates the project’s coherence in a way that no single expert review could.</w:t>
      </w:r>
    </w:p>
    <w:p>
      <w:pPr>
        <w:pStyle w:val="Heading2"/>
      </w:pPr>
      <w:r>
        <w:t xml:space="preserve">6.2 Technical Credibility</w:t>
      </w:r>
    </w:p>
    <w:p>
      <w:pPr>
        <w:spacing w:after="160" w:line="276"/>
      </w:pPr>
      <w:r>
        <w:t xml:space="preserve">Claude’s analysis is the strongest standalone document for serious technical evaluation, with its specific ADR references, correct test counts, and structured rating system. For audiences evaluating Mercury as production infrastructure, this analysis provides the most rigorous assessment.</w:t>
      </w:r>
    </w:p>
    <w:p>
      <w:pPr>
        <w:pStyle w:val="Heading2"/>
      </w:pPr>
      <w:r>
        <w:t xml:space="preserve">6.3 Community Positioning</w:t>
      </w:r>
    </w:p>
    <w:p>
      <w:pPr>
        <w:spacing w:after="160" w:line="276"/>
      </w:pPr>
      <w:r>
        <w:t xml:space="preserve">Grok’s quantitative performance characterization and Gemini’s </w:t>
      </w:r>
      <w:r>
        <w:rPr>
          <w:i/>
          <w:iCs/>
        </w:rPr>
        <w:t xml:space="preserve">"Return of Systems .NET"</w:t>
      </w:r>
      <w:r>
        <w:t xml:space="preserve"> framing serve different community audiences. The former appeals to engineers evaluating concrete performance characteristics; the latter positions Sky Omega within the .NET ecosystem’s evolution toward high-performance systems programming.</w:t>
      </w:r>
    </w:p>
    <w:p>
      <w:pPr>
        <w:pStyle w:val="Heading2"/>
      </w:pPr>
      <w:r>
        <w:t xml:space="preserve">6.4 Methodology Demonstration</w:t>
      </w:r>
    </w:p>
    <w:p>
      <w:pPr>
        <w:spacing w:after="160" w:line="276"/>
      </w:pPr>
      <w:r>
        <w:t xml:space="preserve">The cross-substrate convergence serves as living evidence for the EEE methodology and substrate independence thesis. Rather than arguing theoretically that epistemic structure is portable, this exercise demonstrates it empirically. The articles are not just analyses of the project — they are artifacts produced by the methodology the project embodies.</w:t>
      </w:r>
    </w:p>
    <w:p>
      <w:r>
        <w:br w:type="page"/>
      </w:r>
    </w:p>
    <w:p>
      <w:pPr>
        <w:pStyle w:val="Heading1"/>
      </w:pPr>
      <w:r>
        <w:t xml:space="preserve">7. Conclusion</w:t>
      </w:r>
    </w:p>
    <w:p>
      <w:pPr>
        <w:spacing w:after="160" w:line="276"/>
      </w:pPr>
      <w:r>
        <w:t xml:space="preserve">The four independent analyses present a remarkably consistent picture. Sky Omega / Mercury is recognized across all substrates as a technically impressive, architecturally disciplined piece of infrastructure that solves a real problem: persistent, queryable, standards-compliant knowledge storage for AI agents. The zero-dependency, zero-GC, fully W3C-conformant design is uniformly validated as a strong foundation.</w:t>
      </w:r>
    </w:p>
    <w:p>
      <w:pPr>
        <w:spacing w:after="160" w:line="276"/>
      </w:pPr>
      <w:r>
        <w:t xml:space="preserve">Where the analyses diverge — in narrative framing, depth of technical engagement, and boldness of long-term projection — they complement rather than contradict each other. Claude provides precision, Grok provides coverage, Gemini provides narrative, and GPT provides structure. Together they constitute a more complete assessment than any single model could produce.</w:t>
      </w:r>
    </w:p>
    <w:p>
      <w:pPr>
        <w:spacing w:after="160" w:line="276"/>
      </w:pPr>
      <w:r>
        <w:t xml:space="preserve">The most important finding may be the meta-finding: that the repository is sufficiently self-documenting, semantically coherent, and architecturally legible that four different LLMs can independently analyze it and converge on the same conclusions. This is not merely a property of the LLMs. It is a property of the codebase — a direct consequence of the naming discipline, documentation architecture, and epistemic methodology that Sky Omega embodies.</w:t>
      </w:r>
    </w:p>
    <w:p>
      <w:pPr>
        <w:spacing w:after="160" w:line="276"/>
      </w:pPr>
      <w:r>
        <w:t xml:space="preserve">The code is the model. The documentation is the interface. The convergence is the proof.</w:t>
      </w:r>
    </w:p>
    <w:p>
      <w:pPr>
        <w:spacing w:before="40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none" w:sz="0"/>
              <w:bottom w:val="none" w:sz="0"/>
              <w:right w:val="none" w:sz="0"/>
            </w:tcBorders>
            <w:tcMar>
              <w:top w:type="dxa" w:w="160"/>
              <w:left w:type="dxa" w:w="0"/>
              <w:bottom w:type="dxa" w:w="80"/>
              <w:right w:type="dxa" w:w="0"/>
            </w:tcMar>
          </w:tcPr>
          <w:p>
            <w:pPr>
              <w:spacing w:after="40"/>
            </w:pPr>
            <w:r>
              <w:rPr>
                <w:rFonts w:ascii="Arial" w:cs="Arial" w:eastAsia="Arial" w:hAnsi="Arial"/>
                <w:i/>
                <w:iCs/>
                <w:color w:val="5D6D7E"/>
                <w:sz w:val="18"/>
                <w:szCs w:val="18"/>
              </w:rPr>
              <w:t xml:space="preserve">Consolidated analysis prepared by Claude 4.6 Opus from four independent LLM evaluations.</w:t>
            </w:r>
          </w:p>
          <w:p>
            <w:r>
              <w:rPr>
                <w:rFonts w:ascii="Arial" w:cs="Arial" w:eastAsia="Arial" w:hAnsi="Arial"/>
                <w:i/>
                <w:iCs/>
                <w:color w:val="5D6D7E"/>
                <w:sz w:val="18"/>
                <w:szCs w:val="18"/>
              </w:rPr>
              <w:t xml:space="preserve">Source analyses conducted within JetBrains Rider AI Assistant, February 2026.</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Sky Omega — Cross-Substrate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2026-02-08T05:39:37.953Z</dcterms:created>
  <dcterms:modified xsi:type="dcterms:W3CDTF">2026-02-08T05:39:37.953Z</dcterms:modified>
</cp:coreProperties>
</file>

<file path=docProps/custom.xml><?xml version="1.0" encoding="utf-8"?>
<Properties xmlns="http://schemas.openxmlformats.org/officeDocument/2006/custom-properties" xmlns:vt="http://schemas.openxmlformats.org/officeDocument/2006/docPropsVTypes"/>
</file>