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2026-10-18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Benchmarks:</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Belgrade Chinese Embassy Precedent</w:t>
      </w:r>
      <w:r>
        <w:rPr>
          <w:rFonts w:ascii="Calibri" w:hAnsi="Calibri"/>
          <w:i/>
          <w:color w:val="334155"/>
          <w:sz w:val="19"/>
        </w:rPr>
        <w:t>, ¶¶ 80–85); Middle East Watch / Human Rights Watch Targeting Inquiry (</w:t>
      </w:r>
      <w:r>
        <w:rPr>
          <w:rFonts w:ascii="Calibri" w:hAnsi="Calibri"/>
          <w:i/>
          <w:color w:val="334155"/>
          <w:sz w:val="19"/>
        </w:rPr>
        <w:t>Al-Amiriyah Bomb Shelter Massacre Precedent</w:t>
      </w:r>
      <w:r>
        <w:rPr>
          <w:rFonts w:ascii="Calibri" w:hAnsi="Calibri"/>
          <w:i/>
          <w:color w:val="334155"/>
          <w:sz w:val="19"/>
        </w:rPr>
        <w:t>, 1991); European Court of Human Rights Canonical Aerial Bombardment Landmarks (</w:t>
      </w:r>
      <w:r>
        <w:rPr>
          <w:rFonts w:ascii="Calibri" w:hAnsi="Calibri"/>
          <w:i/>
          <w:color w:val="334155"/>
          <w:sz w:val="19"/>
        </w:rPr>
        <w:t>Isayeva v. Russia</w:t>
      </w:r>
      <w:r>
        <w:rPr>
          <w:rFonts w:ascii="Calibri" w:hAnsi="Calibri"/>
          <w:i/>
          <w:color w:val="334155"/>
          <w:sz w:val="19"/>
        </w:rPr>
        <w:t xml:space="preserve">, App. 57950/00; </w:t>
      </w:r>
      <w:r>
        <w:rPr>
          <w:rFonts w:ascii="Calibri" w:hAnsi="Calibri"/>
          <w:i/>
          <w:color w:val="334155"/>
          <w:sz w:val="19"/>
        </w:rPr>
        <w:t>Isayeva, Yusupova and Bazayeva v. Russia</w:t>
      </w:r>
      <w:r>
        <w:rPr>
          <w:rFonts w:ascii="Calibri" w:hAnsi="Calibri"/>
          <w:i/>
          <w:color w:val="334155"/>
          <w:sz w:val="19"/>
        </w:rPr>
        <w:t xml:space="preserve">, App. 57947/00)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ind w:left="576"/>
      </w:pPr>
      <w:r>
        <w:rPr>
          <w:rFonts w:ascii="Calibri" w:hAnsi="Calibri"/>
          <w:color w:val="2563EB"/>
          <w:sz w:val="19"/>
          <w:u w:val="single"/>
        </w:rPr>
        <w:t>1.4 Comparative Jurisprudential Framework: Title-by-Title Precedential Integration (*The Isayeva &amp; Al-Amiriyah Benchmarks*)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Cadastral Identity &amp; Physical Architecture of the School</w:t>
      </w:r>
    </w:p>
    <w:p>
      <w:pPr>
        <w:pStyle w:val="ListBullet"/>
        <w:spacing w:before="20" w:after="40"/>
        <w:ind w:left="576"/>
      </w:pPr>
      <w:r>
        <w:rPr>
          <w:rFonts w:ascii="Calibri" w:hAnsi="Calibri"/>
          <w:color w:val="2563EB"/>
          <w:sz w:val="19"/>
          <w:u w:val="single"/>
        </w:rPr>
        <w:t>4.2 Historical Status, Municipal Conversion &amp; The 2016 Concrete Partition Wall</w:t>
      </w:r>
    </w:p>
    <w:p>
      <w:pPr>
        <w:pStyle w:val="ListBullet"/>
        <w:spacing w:before="20" w:after="40"/>
        <w:ind w:left="576"/>
      </w:pPr>
      <w:r>
        <w:rPr>
          <w:rFonts w:ascii="Calibri" w:hAnsi="Calibri"/>
          <w:color w:val="2563EB"/>
          <w:sz w:val="19"/>
          <w:u w:val="single"/>
        </w:rPr>
        <w:t>4.3 Operational Chronology: The Academic Session of February 28, 2026</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The Adversarial Positions: Military Nomination Claims vs. Verified Ground Truth</w:t>
      </w:r>
    </w:p>
    <w:p>
      <w:pPr>
        <w:pStyle w:val="ListBullet"/>
        <w:spacing w:before="20" w:after="40"/>
        <w:ind w:left="576"/>
      </w:pPr>
      <w:r>
        <w:rPr>
          <w:rFonts w:ascii="Calibri" w:hAnsi="Calibri"/>
          <w:color w:val="2563EB"/>
          <w:sz w:val="19"/>
          <w:u w:val="single"/>
        </w:rPr>
        <w:t>4.6 Forensic Casualty Census, Demographic Matrix &amp; Pathological Trauma</w:t>
      </w:r>
    </w:p>
    <w:p>
      <w:pPr>
        <w:pStyle w:val="ListBullet"/>
        <w:spacing w:before="20" w:after="40"/>
        <w:ind w:left="576"/>
      </w:pPr>
      <w:r>
        <w:rPr>
          <w:rFonts w:ascii="Calibri" w:hAnsi="Calibri"/>
          <w:color w:val="2563EB"/>
          <w:sz w:val="19"/>
          <w:u w:val="single"/>
        </w:rPr>
        <w:t>4.7 Eyewitness, Survivor &amp; First-Responder Testimonial Evidence</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ind w:left="576"/>
      </w:pPr>
      <w:r>
        <w:rPr>
          <w:rFonts w:ascii="Calibri" w:hAnsi="Calibri"/>
          <w:color w:val="2563EB"/>
          <w:sz w:val="19"/>
          <w:u w:val="single"/>
        </w:rPr>
        <w:t>7.5 Breach of the Mandatory Advance Warning Requirement (AP I Art. 57(2)(c) &amp; Art. 65(2); *Al-Amiriyah*)</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 and</w:t>
      </w:r>
    </w:p>
    <w:p>
      <w:pPr>
        <w:pStyle w:val="ListBullet"/>
        <w:spacing w:before="20" w:after="40"/>
        <w:ind w:left="576"/>
      </w:pPr>
      <w:r>
        <w:rPr>
          <w:rFonts w:ascii="Calibri" w:hAnsi="Calibri"/>
          <w:color w:val="1E293B"/>
          <w:sz w:val="19"/>
        </w:rPr>
        <w:t xml:space="preserve">(iv) The canonical jurisprudence of the </w:t>
      </w:r>
      <w:r>
        <w:rPr>
          <w:rFonts w:ascii="Calibri" w:hAnsi="Calibri"/>
          <w:b/>
          <w:color w:val="1E293B"/>
          <w:sz w:val="19"/>
        </w:rPr>
        <w:t>European Court of Human Rights (ECtHR)</w:t>
      </w:r>
      <w:r>
        <w:rPr>
          <w:rFonts w:ascii="Calibri" w:hAnsi="Calibri"/>
          <w:color w:val="1E293B"/>
          <w:sz w:val="19"/>
        </w:rPr>
        <w:t xml:space="preserve"> on kinetic aerial bombardment and the Right to Life under Article 2 ECHR, specifically the twin landmark judgments rendered on 24 February 2005: </w:t>
      </w:r>
      <w:r>
        <w:rPr>
          <w:rFonts w:ascii="Calibri" w:hAnsi="Calibri"/>
          <w:b/>
          <w:color w:val="1E293B"/>
          <w:sz w:val="19"/>
        </w:rPr>
        <w:t>Case 03: *Isayeva v. Russia</w:t>
      </w:r>
      <w:r>
        <w:rPr>
          <w:rFonts w:ascii="Calibri" w:hAnsi="Calibri"/>
          <w:i/>
          <w:color w:val="1E293B"/>
          <w:sz w:val="19"/>
        </w:rPr>
        <w:t xml:space="preserve"> (Katyr-Yurt Bombing, Application no. 57950/00; HUDOC [001-68381](https://hudoc.echr.coe.int/eng?i=001-68381)) and </w:t>
      </w:r>
      <w:r>
        <w:rPr>
          <w:rFonts w:ascii="Calibri" w:hAnsi="Calibri"/>
          <w:i/>
          <w:color w:val="1E293B"/>
          <w:sz w:val="19"/>
        </w:rPr>
        <w:t xml:space="preserve">Case 19: </w:t>
      </w:r>
      <w:r>
        <w:rPr>
          <w:rFonts w:ascii="Calibri" w:hAnsi="Calibri"/>
          <w:color w:val="1E293B"/>
          <w:sz w:val="19"/>
        </w:rPr>
        <w:t>Isayeva, Yusupova and Bazayeva v. Russia</w:t>
      </w:r>
      <w:r>
        <w:rPr>
          <w:rFonts w:ascii="Calibri" w:hAnsi="Calibri"/>
          <w:i/>
          <w:color w:val="1E293B"/>
          <w:sz w:val="19"/>
        </w:rPr>
      </w:r>
      <w:r>
        <w:rPr>
          <w:rFonts w:ascii="Calibri" w:hAnsi="Calibri"/>
          <w:color w:val="1E293B"/>
          <w:sz w:val="19"/>
        </w:rPr>
        <w:t xml:space="preserve">* (Shaami-Yurt Refugee Convoy Strike, Applications nos. 57947/00, 57948/00, and 57949/00; HUDOC </w:t>
      </w:r>
      <w:r>
        <w:rPr>
          <w:rFonts w:ascii="Calibri" w:hAnsi="Calibri"/>
          <w:color w:val="2563EB"/>
          <w:sz w:val="19"/>
          <w:u w:val="single"/>
        </w:rPr>
        <w:t>001-68379</w:t>
      </w:r>
      <w:r>
        <w:rPr>
          <w:rFonts w:ascii="Calibri" w:hAnsi="Calibri"/>
          <w:color w:val="1E293B"/>
          <w:sz w:val="19"/>
        </w:rPr>
        <w:t>).</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200" w:after="60"/>
      </w:pPr>
      <w:r>
        <w:rPr>
          <w:rFonts w:ascii="Calibri" w:hAnsi="Calibri"/>
          <w:b/>
          <w:color w:val="334155"/>
          <w:sz w:val="22"/>
        </w:rPr>
        <w:t>1.4 Comparative Jurisprudential Framework: Title-by-Title Precedential Integration (*The Isayeva &amp; Al-Amiriyah Benchmarks*)</w:t>
      </w:r>
    </w:p>
    <w:p>
      <w:pPr>
        <w:spacing w:before="40" w:after="80" w:line="276" w:lineRule="auto"/>
      </w:pPr>
      <w:r>
        <w:rPr>
          <w:rFonts w:ascii="Calibri" w:hAnsi="Calibri"/>
          <w:color w:val="1E293B"/>
          <w:sz w:val="20"/>
        </w:rPr>
        <w:t>8 bis. To ensure that this Determination satisfies the highest standard of international judicial rigor, the Panel formally benchmarks its factual and legal determinations against two foundational pillars of international jurisprudence governing aerial bombardment and precision strikes:</w:t>
      </w:r>
    </w:p>
    <w:p>
      <w:pPr>
        <w:pStyle w:val="ListBullet"/>
        <w:spacing w:before="20" w:after="40"/>
        <w:ind w:left="576"/>
      </w:pPr>
      <w:r>
        <w:rPr>
          <w:rFonts w:ascii="Calibri" w:hAnsi="Calibri"/>
          <w:b/>
          <w:color w:val="1E293B"/>
          <w:sz w:val="19"/>
        </w:rPr>
        <w:t>(i) The European Court of Human Rights (ECtHR) Aerial Bombardment Landmarks:</w:t>
      </w:r>
      <w:r>
        <w:rPr>
          <w:rFonts w:ascii="Calibri" w:hAnsi="Calibri"/>
          <w:color w:val="1E293B"/>
          <w:sz w:val="19"/>
        </w:rPr>
        <w:t xml:space="preserve"> The twin judgments delivered on February 24, 2005: </w:t>
      </w:r>
      <w:r>
        <w:rPr>
          <w:rFonts w:ascii="Calibri" w:hAnsi="Calibri"/>
          <w:b/>
          <w:i/>
          <w:color w:val="1E293B"/>
          <w:sz w:val="19"/>
        </w:rPr>
        <w:t xml:space="preserve">Isayeva v. Russia* (Katyr-Yurt, App. no. 57950/00)** and </w:t>
      </w:r>
      <w:r>
        <w:rPr>
          <w:rFonts w:ascii="Calibri" w:hAnsi="Calibri"/>
          <w:color w:val="1E293B"/>
          <w:sz w:val="19"/>
        </w:rPr>
        <w:t>Isayeva, Yusupova and Bazayeva v. Russia</w:t>
      </w:r>
      <w:r>
        <w:rPr>
          <w:rFonts w:ascii="Calibri" w:hAnsi="Calibri"/>
          <w:i/>
          <w:color w:val="1E293B"/>
          <w:sz w:val="19"/>
        </w:rPr>
        <w:t xml:space="preserve"> (Shaami-Yurt Convoy, App. nos. 57947/00, 57948/00, and 57949/00)</w:t>
      </w:r>
      <w:r>
        <w:rPr>
          <w:rFonts w:ascii="Calibri" w:hAnsi="Calibri"/>
          <w:color w:val="1E293B"/>
          <w:sz w:val="19"/>
        </w:rPr>
        <w:t>*, establishing definitive standards on state liability for kinetic aerial operations in populated civilian areas under ECHR Article 2; and</w:t>
      </w:r>
    </w:p>
    <w:p>
      <w:pPr>
        <w:pStyle w:val="ListBullet"/>
        <w:spacing w:before="20" w:after="40"/>
        <w:ind w:left="576"/>
      </w:pPr>
      <w:r>
        <w:rPr>
          <w:rFonts w:ascii="Calibri" w:hAnsi="Calibri"/>
          <w:b/>
          <w:color w:val="1E293B"/>
          <w:sz w:val="19"/>
        </w:rPr>
        <w:t>(ii) The Landmark U.S. Targeting Inquiry in Case 08 (*Al-Amiriyah Bomb Shelter Massacre*, Baghdad 1991):</w:t>
      </w:r>
      <w:r>
        <w:rPr>
          <w:rFonts w:ascii="Calibri" w:hAnsi="Calibri"/>
          <w:color w:val="1E293B"/>
          <w:sz w:val="19"/>
        </w:rPr>
        <w:t xml:space="preserve"> The Middle East Watch / Human Rights Watch investigative findings (</w:t>
      </w:r>
      <w:r>
        <w:rPr>
          <w:rFonts w:ascii="Calibri" w:hAnsi="Calibri"/>
          <w:i/>
          <w:color w:val="1E293B"/>
          <w:sz w:val="19"/>
        </w:rPr>
        <w:t>Needless Deaths in the Gulf War</w:t>
      </w:r>
      <w:r>
        <w:rPr>
          <w:rFonts w:ascii="Calibri" w:hAnsi="Calibri"/>
          <w:color w:val="1E293B"/>
          <w:sz w:val="19"/>
        </w:rPr>
        <w:t>, Chapter 7), establishing definitive legal standards governing the absolute presumption of civilian status for protected infrastructure, the mandatory requirement of advance warnings, the failure of detached signals intelligence, and the illegality of using penetrating blast munitions in enclosed civilian sanctuaries.</w:t>
      </w:r>
    </w:p>
    <w:p>
      <w:pPr>
        <w:spacing w:before="40" w:after="80" w:line="276" w:lineRule="auto"/>
      </w:pPr>
      <w:r>
        <w:rPr>
          <w:rFonts w:ascii="Calibri" w:hAnsi="Calibri"/>
          <w:color w:val="1E293B"/>
          <w:sz w:val="20"/>
        </w:rPr>
        <w:t xml:space="preserve">8 ter. The legal findings articulated in </w:t>
      </w:r>
      <w:r>
        <w:rPr>
          <w:rFonts w:ascii="Calibri" w:hAnsi="Calibri"/>
          <w:b/>
          <w:i/>
          <w:color w:val="1E293B"/>
          <w:sz w:val="20"/>
        </w:rPr>
        <w:t xml:space="preserve">Isayeva, Yusupova and Bazayeva v. Russia* (HUDOC 001-68379)** and </w:t>
      </w:r>
      <w:r>
        <w:rPr>
          <w:rFonts w:ascii="Calibri" w:hAnsi="Calibri"/>
          <w:color w:val="1E293B"/>
          <w:sz w:val="20"/>
        </w:rPr>
        <w:t>Al-Amiriyah</w:t>
      </w:r>
      <w:r>
        <w:rPr>
          <w:rFonts w:ascii="Calibri" w:hAnsi="Calibri"/>
          <w:i/>
          <w:color w:val="1E293B"/>
          <w:sz w:val="20"/>
        </w:rPr>
        <w:t xml:space="preserve"> (HRW 1991)</w:t>
      </w:r>
      <w:r>
        <w:rPr>
          <w:rFonts w:ascii="Calibri" w:hAnsi="Calibri"/>
          <w:color w:val="1E293B"/>
          <w:sz w:val="20"/>
        </w:rPr>
        <w:t>* converge directly with every substantive title of this Master Dossier, as set forth in the comparative architecture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Precedential Dimension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Authoritative Holding (*Isayeva* &amp; *Al-Amiriyah*)</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Correlative in Minab Elementary School Strike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Master Dossier Incorporation &amp; Location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 Rebuttal of "Dynamic Target" &amp; Dual-Use Claims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Rejects state defense that civilians "suddenly appeared" (</w:t>
            </w:r>
            <w:r>
              <w:rPr>
                <w:rFonts w:ascii="Calibri" w:hAnsi="Calibri"/>
                <w:i/>
                <w:color w:val="1E293B"/>
                <w:sz w:val="17"/>
              </w:rPr>
              <w:t>Isayeva</w:t>
            </w:r>
            <w:r>
              <w:rPr>
                <w:rFonts w:ascii="Calibri" w:hAnsi="Calibri"/>
                <w:color w:val="1E293B"/>
                <w:sz w:val="17"/>
              </w:rPr>
              <w:t xml:space="preserve"> §§ 192–194); rejects retroactive claims of military command conversion for registered civilian refuges (</w:t>
            </w:r>
            <w:r>
              <w:rPr>
                <w:rFonts w:ascii="Calibri" w:hAnsi="Calibri"/>
                <w:i/>
                <w:color w:val="1E293B"/>
                <w:sz w:val="17"/>
              </w:rPr>
              <w:t>Al-Amiriyah</w:t>
            </w:r>
            <w:r>
              <w:rPr>
                <w:rFonts w:ascii="Calibri" w:hAnsi="Calibri"/>
                <w:color w:val="1E293B"/>
                <w:sz w:val="17"/>
              </w:rPr>
              <w:t>, HRW Ch. 7; AP I Art. 52(3)).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Ten-year-old operational primary school partitioned in 2016 cannot be excused as an unexpected presence or unverified IRGC dual-use target.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III, § 3.7 (¶ 38 bis)](#chapter-3-7)</w:t>
            </w:r>
            <w:r>
              <w:rPr>
                <w:rFonts w:ascii="Calibri" w:hAnsi="Calibri"/>
                <w:color w:val="1E293B"/>
                <w:sz w:val="17"/>
              </w:rPr>
              <w:t xml:space="preserve"> &amp; </w:t>
            </w:r>
            <w:r>
              <w:rPr>
                <w:rFonts w:ascii="Calibri" w:hAnsi="Calibri"/>
                <w:b/>
                <w:color w:val="1E293B"/>
                <w:sz w:val="17"/>
              </w:rPr>
              <w:t>[Chapter VI, § 6.3 (¶ 70 bis)](#chapter-6-3)</w:t>
            </w:r>
            <w:r>
              <w:rPr>
                <w:rFonts w:ascii="Calibri" w:hAnsi="Calibri"/>
                <w:color w:val="1E293B"/>
                <w:sz w:val="17"/>
              </w:rPr>
              <w:t>: Rebuttal of Dual-Use &amp; Coordinate Defenses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 Precautionary "Planning &amp; Control" &amp; Pattern of Life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Operations must be planned and controlled to minimise risk to life (</w:t>
            </w:r>
            <w:r>
              <w:rPr>
                <w:rFonts w:ascii="Calibri" w:hAnsi="Calibri"/>
                <w:i/>
                <w:color w:val="1E293B"/>
                <w:sz w:val="17"/>
              </w:rPr>
              <w:t>Isayeva</w:t>
            </w:r>
            <w:r>
              <w:rPr>
                <w:rFonts w:ascii="Calibri" w:hAnsi="Calibri"/>
                <w:color w:val="1E293B"/>
                <w:sz w:val="17"/>
              </w:rPr>
              <w:t xml:space="preserve"> §§ 171, 199); failure to conduct daylight/dusk reconnaissance to verify civilian occupancy cycles violates AP I Art. 57 (</w:t>
            </w:r>
            <w:r>
              <w:rPr>
                <w:rFonts w:ascii="Calibri" w:hAnsi="Calibri"/>
                <w:i/>
                <w:color w:val="1E293B"/>
                <w:sz w:val="17"/>
              </w:rPr>
              <w:t>Al-Amiriyah</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relied on stale pre-2016 silos, slashed CHMR analysts (10 down to 1), and launched at 09:22 Saturday during peak school assembly with zero occupancy checks.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7.2 (¶¶ 81 ter–81 quater)](#chapter-7-2)</w:t>
            </w:r>
            <w:r>
              <w:rPr>
                <w:rFonts w:ascii="Calibri" w:hAnsi="Calibri"/>
                <w:color w:val="1E293B"/>
                <w:sz w:val="17"/>
              </w:rPr>
              <w:t>: Affirmative Duty to Take Feasible Precautions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III. Weapons Disproportionality in Confined Sanctuaries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Firing heavy blast munitions into civilian roads is disproportionate </w:t>
            </w:r>
            <w:r>
              <w:rPr>
                <w:rFonts w:ascii="Calibri" w:hAnsi="Calibri"/>
                <w:i/>
                <w:color w:val="1E293B"/>
                <w:sz w:val="17"/>
              </w:rPr>
              <w:t>per se</w:t>
            </w:r>
            <w:r>
              <w:rPr>
                <w:rFonts w:ascii="Calibri" w:hAnsi="Calibri"/>
                <w:color w:val="1E293B"/>
                <w:sz w:val="17"/>
              </w:rPr>
              <w:t xml:space="preserve"> (</w:t>
            </w:r>
            <w:r>
              <w:rPr>
                <w:rFonts w:ascii="Calibri" w:hAnsi="Calibri"/>
                <w:i/>
                <w:color w:val="1E293B"/>
                <w:sz w:val="17"/>
              </w:rPr>
              <w:t>Isayeva</w:t>
            </w:r>
            <w:r>
              <w:rPr>
                <w:rFonts w:ascii="Calibri" w:hAnsi="Calibri"/>
                <w:color w:val="1E293B"/>
                <w:sz w:val="17"/>
              </w:rPr>
              <w:t xml:space="preserve"> §§ 195, 199); delivering penetrating bunker-busters into enclosed shelters creates mathematically inevitable slaughter (</w:t>
            </w:r>
            <w:r>
              <w:rPr>
                <w:rFonts w:ascii="Calibri" w:hAnsi="Calibri"/>
                <w:i/>
                <w:color w:val="1E293B"/>
                <w:sz w:val="17"/>
              </w:rPr>
              <w:t>Al-Amiriyah</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Detonating three 1,000-lb WDU-36/B warheads (triple-tap salvo: roof ➔ fire escape ➔ yard) 42m from active classrooms made 156 child/teacher deaths mathematically guaranteed.</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7.3 (¶¶ 83–83 ter)](#chapter-7-3)</w:t>
            </w:r>
            <w:r>
              <w:rPr>
                <w:rFonts w:ascii="Calibri" w:hAnsi="Calibri"/>
                <w:color w:val="1E293B"/>
                <w:sz w:val="17"/>
              </w:rPr>
              <w:t>: Principle of Proportionality (</w:t>
            </w:r>
            <w:r>
              <w:rPr>
                <w:rFonts w:ascii="Calibri" w:hAnsi="Calibri"/>
                <w:i/>
                <w:color w:val="1E293B"/>
                <w:sz w:val="17"/>
              </w:rPr>
              <w:t>The Isayeva &amp; Al-Amiriyah Standards</w:t>
            </w:r>
            <w:r>
              <w:rPr>
                <w:rFonts w:ascii="Calibri" w:hAnsi="Calibri"/>
                <w:color w:val="1E293B"/>
                <w:sz w:val="17"/>
              </w:rPr>
              <w: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IV. Mandatory Advance Warning Requirement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civil defense facilities lose immunity only after an explicit, unheeded warning with reasonable evacuation time is given (</w:t>
            </w:r>
            <w:r>
              <w:rPr>
                <w:rFonts w:ascii="Calibri" w:hAnsi="Calibri"/>
                <w:i/>
                <w:color w:val="1E293B"/>
                <w:sz w:val="17"/>
              </w:rPr>
              <w:t>Al-Amiriyah</w:t>
            </w:r>
            <w:r>
              <w:rPr>
                <w:rFonts w:ascii="Calibri" w:hAnsi="Calibri"/>
                <w:color w:val="1E293B"/>
                <w:sz w:val="17"/>
              </w:rPr>
              <w:t>; AP I Art. 57(2)(c) &amp; 65(2)).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stand-off cruise missiles struck the elementary school with zero advance warning or sirens while students were in morning class.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7.5 (¶ 85 bis)](#chapter-7-5)</w:t>
            </w:r>
            <w:r>
              <w:rPr>
                <w:rFonts w:ascii="Calibri" w:hAnsi="Calibri"/>
                <w:color w:val="1E293B"/>
                <w:sz w:val="17"/>
              </w:rPr>
              <w:t>: Breach of Mandatory Advance Warning Requirement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 Upstream Concentration of Culpability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Exonerates tactical pilots/crews executing assigned orders; concentrates 100% of culpability upstream on planners, Checkmate/nominators, and commanders (</w:t>
            </w:r>
            <w:r>
              <w:rPr>
                <w:rFonts w:ascii="Calibri" w:hAnsi="Calibri"/>
                <w:i/>
                <w:color w:val="1E293B"/>
                <w:sz w:val="17"/>
              </w:rPr>
              <w:t>Isayeva</w:t>
            </w:r>
            <w:r>
              <w:rPr>
                <w:rFonts w:ascii="Calibri" w:hAnsi="Calibri"/>
                <w:color w:val="1E293B"/>
                <w:sz w:val="17"/>
              </w:rPr>
              <w:t xml:space="preserve"> §§ 187–188; </w:t>
            </w:r>
            <w:r>
              <w:rPr>
                <w:rFonts w:ascii="Calibri" w:hAnsi="Calibri"/>
                <w:i/>
                <w:color w:val="1E293B"/>
                <w:sz w:val="17"/>
              </w:rPr>
              <w:t>Al-Amiriyah</w:t>
            </w:r>
            <w:r>
              <w:rPr>
                <w:rFonts w:ascii="Calibri" w:hAnsi="Calibri"/>
                <w:color w:val="1E293B"/>
                <w:sz w:val="17"/>
              </w:rPr>
              <w:t>; ICTY § 85).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Naval launch crews aboard USS </w:t>
            </w:r>
            <w:r>
              <w:rPr>
                <w:rFonts w:ascii="Calibri" w:hAnsi="Calibri"/>
                <w:i/>
                <w:color w:val="1E293B"/>
                <w:sz w:val="17"/>
              </w:rPr>
              <w:t>Abraham Lincoln</w:t>
            </w:r>
            <w:r>
              <w:rPr>
                <w:rFonts w:ascii="Calibri" w:hAnsi="Calibri"/>
                <w:color w:val="1E293B"/>
                <w:sz w:val="17"/>
              </w:rPr>
              <w:t xml:space="preserve"> bear zero culpability; liability concentrates entirely upstream on DIA nominators, TRB, and Maven-Claude AI supervisors.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8.1 (¶¶ 88 bis–88 ter)](#chapter-8-1)</w:t>
            </w:r>
            <w:r>
              <w:rPr>
                <w:rFonts w:ascii="Calibri" w:hAnsi="Calibri"/>
                <w:color w:val="1E293B"/>
                <w:sz w:val="17"/>
              </w:rPr>
              <w:t>: Upstream Concentration of Liability (NATO § 85 Principle)</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 Autonomous Procedural Duty to Investigate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autonomous procedural criteria under Art. 2: promptness, independence, command record review, and victim participation; self-exonerating internal probes breach Art. 2 (</w:t>
            </w:r>
            <w:r>
              <w:rPr>
                <w:rFonts w:ascii="Calibri" w:hAnsi="Calibri"/>
                <w:i/>
                <w:color w:val="1E293B"/>
                <w:sz w:val="17"/>
              </w:rPr>
              <w:t>Isayeva</w:t>
            </w:r>
            <w:r>
              <w:rPr>
                <w:rFonts w:ascii="Calibri" w:hAnsi="Calibri"/>
                <w:color w:val="1E293B"/>
                <w:sz w:val="17"/>
              </w:rPr>
              <w:t xml:space="preserve"> §§ 208–225).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CENTCOM’s internal AR 15-6 review concealed targeting logs and excluded victims, activating the subsidiary jurisdiction of European universal jurisdiction magistrates.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IX, § 9.3 (¶ 94 bis)](#chapter-9-3)</w:t>
            </w:r>
            <w:r>
              <w:rPr>
                <w:rFonts w:ascii="Calibri" w:hAnsi="Calibri"/>
                <w:color w:val="1E293B"/>
                <w:sz w:val="17"/>
              </w:rPr>
              <w:t>: European Detachable Procedural Obligation (</w:t>
            </w:r>
            <w:r>
              <w:rPr>
                <w:rFonts w:ascii="Calibri" w:hAnsi="Calibri"/>
                <w:i/>
                <w:color w:val="1E293B"/>
                <w:sz w:val="17"/>
              </w:rPr>
              <w:t>Hanan</w:t>
            </w:r>
            <w:r>
              <w:rPr>
                <w:rFonts w:ascii="Calibri" w:hAnsi="Calibri"/>
                <w:color w:val="1E293B"/>
                <w:sz w:val="17"/>
              </w:rPr>
              <w:t xml:space="preserve"> &amp; </w:t>
            </w:r>
            <w:r>
              <w:rPr>
                <w:rFonts w:ascii="Calibri" w:hAnsi="Calibri"/>
                <w:i/>
                <w:color w:val="1E293B"/>
                <w:sz w:val="17"/>
              </w:rPr>
              <w:t>Isayeva</w:t>
            </w:r>
            <w:r>
              <w:rPr>
                <w:rFonts w:ascii="Calibri" w:hAnsi="Calibri"/>
                <w:color w:val="1E293B"/>
                <w:sz w:val="17"/>
              </w:rPr>
              <w:t>)</w:t>
            </w:r>
          </w:p>
        </w:tc>
      </w:tr>
    </w:tbl>
    <w:p>
      <w:pPr>
        <w:spacing w:after="120"/>
      </w:pPr>
    </w:p>
    <w:p>
      <w:pPr>
        <w:spacing w:before="40" w:after="80" w:line="276" w:lineRule="auto"/>
      </w:pPr>
      <w:r>
        <w:rPr>
          <w:rFonts w:ascii="Calibri" w:hAnsi="Calibri"/>
          <w:color w:val="1E293B"/>
          <w:sz w:val="20"/>
        </w:rPr>
        <w:t xml:space="preserve">8 quater. </w:t>
      </w:r>
      <w:r>
        <w:rPr>
          <w:rFonts w:ascii="Calibri" w:hAnsi="Calibri"/>
          <w:b/>
          <w:color w:val="1E293B"/>
          <w:sz w:val="20"/>
        </w:rPr>
        <w:t>Title-by-Title Legal Development Across the Master Dossier:</w:t>
      </w:r>
    </w:p>
    <w:p>
      <w:pPr>
        <w:pStyle w:val="ListBullet"/>
        <w:spacing w:before="20" w:after="40"/>
      </w:pPr>
      <w:r>
        <w:rPr>
          <w:rFonts w:ascii="Calibri" w:hAnsi="Calibri"/>
          <w:b/>
          <w:color w:val="1E293B"/>
          <w:sz w:val="19"/>
        </w:rPr>
        <w:t>(1) Title: Chapter VI, Section 6.3 — Rebuttal of the "Dynamic Target" &amp; "Sudden Civilian Emergence" Defense ([¶ 70 bis](#chapter-6-3)):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the Respondent State attempted to explain away the destruction of a refugee convoy by arguing that the pilots only targeted two combatant vehicles, and that civilian vehicles emerged into the blast zone after launch or were used as human shields (§ 30). The Court rejected this claim as factually impossible and legally "insurmountable" (§ 192), noting that the pilots flew multiple passes in broad daylight over several hours and could not have failed to perceive the dense civilian traffic (§ 194). In Minab, this precedent legally defeats any assertion that the presence of 156 children and educators was an "unforeseen collateral contingency" or that students entered the blast zone dynamically. The Shajareh Tayyebeh school was an immutable, ten-year-old municipal landmark whose presence was permanently visible.</w:t>
      </w:r>
    </w:p>
    <w:p>
      <w:pPr>
        <w:pStyle w:val="ListBullet"/>
        <w:spacing w:before="20" w:after="40"/>
      </w:pPr>
      <w:r>
        <w:rPr>
          <w:rFonts w:ascii="Calibri" w:hAnsi="Calibri"/>
          <w:b/>
          <w:color w:val="1E293B"/>
          <w:sz w:val="19"/>
        </w:rPr>
        <w:t>(2) Title: Chapter VII, Section 7.2 — The "Planning and Control" Precautionary Standard &amp; Institutional Siloing ([¶ 81 ter](#chapter-7-2)):</w:t>
      </w:r>
      <w:r>
        <w:rPr>
          <w:rFonts w:ascii="Calibri" w:hAnsi="Calibri"/>
          <w:color w:val="1E293B"/>
          <w:sz w:val="19"/>
        </w:rPr>
        <w:t xml:space="preserve"> In §§ 171, 187, and 199 of the judgment, the ECtHR established that the duty of care in armed operations is not measured solely at the point of release, but governs the entire administrative and operational architecture of the strike. The Court found a flagrant breach of the positive obligation to protect life because the military authorities who declared a safe corridor and the checkpoint officers who ordered civilians back onto the road never communicated with the air force planners who scheduled combat sorties (§§ 185–187). This institutional blindness directly mirrors the targeting pathology in Minab: while secondary intelligence records noted the conversion of the school in 2016, CENTCOM’s operational kill chain was isolated in obsolete databases, accelerated by automated Maven-Claude algorithms, and stripped of independent civilian harm mitigation oversight (slashing the CHMR unit from 10 analysts to one).</w:t>
      </w:r>
    </w:p>
    <w:p>
      <w:pPr>
        <w:pStyle w:val="ListBullet"/>
        <w:spacing w:before="20" w:after="40"/>
      </w:pPr>
      <w:r>
        <w:rPr>
          <w:rFonts w:ascii="Calibri" w:hAnsi="Calibri"/>
          <w:b/>
          <w:color w:val="1E293B"/>
          <w:sz w:val="19"/>
        </w:rPr>
        <w:t>(3) Title: Chapter VII, Section 7.3 — Weapons Disproportionality &amp; Inappropriate Munitions Blast Envelopes ([¶¶ 83–83 bis](#chapter-7-3)):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Court held that deploying twelve heavy unguided S-24 missiles (each carrying 123 kg of high explosives, creating over 4,000 fragments across a lethal dispersal radius of 300 to 800 metres) against targets located among or adjacent to civilians was disproportionate </w:t>
      </w:r>
      <w:r>
        <w:rPr>
          <w:rFonts w:ascii="Calibri" w:hAnsi="Calibri"/>
          <w:i/>
          <w:color w:val="1E293B"/>
          <w:sz w:val="19"/>
        </w:rPr>
        <w:t>per se</w:t>
      </w:r>
      <w:r>
        <w:rPr>
          <w:rFonts w:ascii="Calibri" w:hAnsi="Calibri"/>
          <w:color w:val="1E293B"/>
          <w:sz w:val="19"/>
        </w:rPr>
        <w:t xml:space="preserve"> (§§ 195, 199). Fused with the companion ruling in </w:t>
      </w:r>
      <w:r>
        <w:rPr>
          <w:rFonts w:ascii="Calibri" w:hAnsi="Calibri"/>
          <w:i/>
          <w:color w:val="1E293B"/>
          <w:sz w:val="19"/>
        </w:rPr>
        <w:t>Isayeva v. Russia</w:t>
      </w:r>
      <w:r>
        <w:rPr>
          <w:rFonts w:ascii="Calibri" w:hAnsi="Calibri"/>
          <w:color w:val="1E293B"/>
          <w:sz w:val="19"/>
        </w:rPr>
        <w:t xml:space="preserve"> (Katyr-Yurt, §§ 189–191) concerning FAB-250 and FAB-500 bombs, the unified </w:t>
      </w:r>
      <w:r>
        <w:rPr>
          <w:rFonts w:ascii="Calibri" w:hAnsi="Calibri"/>
          <w:i/>
          <w:color w:val="1E293B"/>
          <w:sz w:val="19"/>
        </w:rPr>
        <w:t>Isayeva</w:t>
      </w:r>
      <w:r>
        <w:rPr>
          <w:rFonts w:ascii="Calibri" w:hAnsi="Calibri"/>
          <w:color w:val="1E293B"/>
          <w:sz w:val="19"/>
        </w:rPr>
        <w:t xml:space="preserve"> doctrine establishes that deploying heavy blast-fragmentation munitions within the lethal radius of a civilian concentration violates the right to life as a matter of law. In Minab, detonating three 1,000-lb WDU-36/B unitary warheads (each containing 195 kg of PBXN-109 high explosive with a 300-metre casualty envelope) exactly 42 metres from an active elementary school made the mass death of 156 civilians mathematically inevitable, far exceeding any conceivable military advantage under AP I Article 51(5)(b).</w:t>
      </w:r>
    </w:p>
    <w:p>
      <w:pPr>
        <w:pStyle w:val="ListBullet"/>
        <w:spacing w:before="20" w:after="40"/>
      </w:pPr>
      <w:r>
        <w:rPr>
          <w:rFonts w:ascii="Calibri" w:hAnsi="Calibri"/>
          <w:b/>
          <w:color w:val="1E293B"/>
          <w:sz w:val="19"/>
        </w:rPr>
        <w:t>(4) Title: Chapter VIII, Section 8.1 — Upstream Concentration of Culpability &amp; Exoneration of Tactical Operators ([¶ 88 bis](#chapter-8-1)):</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domestic Russian military prosecution terminated criminal proceedings against the individual pilots ("Ivanov" and "Petrov") on the basis that they had simply carried out assigned flight orders and responded to ground direction (§§ 38–40). The ECtHR did not overturn this finding to demand the conviction of the tactical aircrew; rather, it held that legal responsibility attached to the commanding authorities who planned and directed the mission without verifying the target (§§ 171, 199–200). This provides authoritative European human rights endorsement for the ICTY NATO Report § 85 principle: the tactical naval launch crews aboard the USS </w:t>
      </w:r>
      <w:r>
        <w:rPr>
          <w:rFonts w:ascii="Calibri" w:hAnsi="Calibri"/>
          <w:i/>
          <w:color w:val="1E293B"/>
          <w:sz w:val="19"/>
        </w:rPr>
        <w:t>Abraham Lincoln</w:t>
      </w:r>
      <w:r>
        <w:rPr>
          <w:rFonts w:ascii="Calibri" w:hAnsi="Calibri"/>
          <w:color w:val="1E293B"/>
          <w:sz w:val="19"/>
        </w:rPr>
        <w:t xml:space="preserve"> bear zero legal culpability, while 100% of the institutional, criminal, and state culpability concentrates upstream upon the intelligence nominators, database managers, and targeting review boards.</w:t>
      </w:r>
    </w:p>
    <w:p>
      <w:pPr>
        <w:pStyle w:val="ListBullet"/>
        <w:spacing w:before="20" w:after="40"/>
      </w:pPr>
      <w:r>
        <w:rPr>
          <w:rFonts w:ascii="Calibri" w:hAnsi="Calibri"/>
          <w:b/>
          <w:color w:val="1E293B"/>
          <w:sz w:val="19"/>
        </w:rPr>
        <w:t>(5) Title: Chapter IX, Section 9.3 — Autonomous European Detachable Procedural Duty to Investigate ([¶ 94 bis](#chapter-9-3)):</w:t>
      </w:r>
      <w:r>
        <w:rPr>
          <w:rFonts w:ascii="Calibri" w:hAnsi="Calibri"/>
          <w:color w:val="1E293B"/>
          <w:sz w:val="19"/>
        </w:rPr>
        <w:t xml:space="preserve"> In §§ 208–225 of the judgment, the ECtHR articulated the canonical criteria governing the procedural obligation under Article 2 to investigate lethal military strikes. The Court condemned the domestic investigation because: (i) it was delayed for months despite public Red Cross notifications (§§ 215–218); (ii) it failed to secure mission flight logs, operations record books, or orders from senior commanders (§§ 220–222); (iii) it closed proceedings based on identical, self-serving military witness statements without independent verification (§§ 39–40, 179); and (iv) it excluded the victims and their families from meaningful participation (§ 224). CENTCOM’s internal AR 15-6 review into Minab replicates every defect condemned in </w:t>
      </w:r>
      <w:r>
        <w:rPr>
          <w:rFonts w:ascii="Calibri" w:hAnsi="Calibri"/>
          <w:i/>
          <w:color w:val="1E293B"/>
          <w:sz w:val="19"/>
        </w:rPr>
        <w:t>Isayeva</w:t>
      </w:r>
      <w:r>
        <w:rPr>
          <w:rFonts w:ascii="Calibri" w:hAnsi="Calibri"/>
          <w:color w:val="1E293B"/>
          <w:sz w:val="19"/>
        </w:rPr>
        <w:t>, thereby failing to satisfy international standards and triggering the subsidiary procedural jurisdiction of European universal jurisdiction authorities in Finland (</w:t>
      </w:r>
      <w:r>
        <w:rPr>
          <w:rFonts w:ascii="Calibri" w:hAnsi="Calibri"/>
          <w:i/>
          <w:color w:val="1E293B"/>
          <w:sz w:val="19"/>
        </w:rPr>
        <w:t>Rikoslaki</w:t>
      </w:r>
      <w:r>
        <w:rPr>
          <w:rFonts w:ascii="Calibri" w:hAnsi="Calibri"/>
          <w:color w:val="1E293B"/>
          <w:sz w:val="19"/>
        </w:rPr>
        <w:t xml:space="preserve"> Ch. 11) and Germany (</w:t>
      </w:r>
      <w:r>
        <w:rPr>
          <w:rFonts w:ascii="Calibri" w:hAnsi="Calibri"/>
          <w:i/>
          <w:color w:val="1E293B"/>
          <w:sz w:val="19"/>
        </w:rPr>
        <w:t>VStGB</w:t>
      </w:r>
      <w:r>
        <w:rPr>
          <w:rFonts w:ascii="Calibri" w:hAnsi="Calibri"/>
          <w:color w:val="1E293B"/>
          <w:sz w:val="19"/>
        </w:rPr>
        <w:t xml:space="preserve"> § 1).</w:t>
      </w:r>
    </w:p>
    <w:p>
      <w:pPr>
        <w:spacing w:before="40" w:after="80" w:line="276" w:lineRule="auto"/>
      </w:pPr>
      <w:r>
        <w:rPr>
          <w:rFonts w:ascii="Calibri" w:hAnsi="Calibri"/>
          <w:color w:val="1E293B"/>
          <w:sz w:val="20"/>
        </w:rPr>
        <w:t xml:space="preserve">8 quinquies. </w:t>
      </w:r>
      <w:r>
        <w:rPr>
          <w:rFonts w:ascii="Calibri" w:hAnsi="Calibri"/>
          <w:b/>
          <w:color w:val="1E293B"/>
          <w:sz w:val="20"/>
        </w:rPr>
        <w:t>The Al-Amiriyah Precedential Doctrines Applied Across the Master Dossier:</w:t>
      </w:r>
    </w:p>
    <w:p>
      <w:pPr>
        <w:pStyle w:val="ListBullet"/>
        <w:spacing w:before="20" w:after="40"/>
      </w:pPr>
      <w:r>
        <w:rPr>
          <w:rFonts w:ascii="Calibri" w:hAnsi="Calibri"/>
          <w:b/>
          <w:color w:val="1E293B"/>
          <w:sz w:val="19"/>
        </w:rPr>
        <w:t>(1) Presumption of Civilian Sanctuary Status (Chapter III, § 3.7 [¶ 38 bis]):</w:t>
      </w:r>
      <w:r>
        <w:rPr>
          <w:rFonts w:ascii="Calibri" w:hAnsi="Calibri"/>
          <w:color w:val="1E293B"/>
          <w:sz w:val="19"/>
        </w:rPr>
        <w:t xml:space="preserve"> Establishes that facilities dedicated to public civilian protection retain an absolute presumption of civilian status under AP I Art. 52(3) and Art. 65, which cannot be rebutted by unverified internal intelligence re-designations.</w:t>
      </w:r>
    </w:p>
    <w:p>
      <w:pPr>
        <w:pStyle w:val="ListBullet"/>
        <w:spacing w:before="20" w:after="40"/>
      </w:pPr>
      <w:r>
        <w:rPr>
          <w:rFonts w:ascii="Calibri" w:hAnsi="Calibri"/>
          <w:b/>
          <w:color w:val="1E293B"/>
          <w:sz w:val="19"/>
        </w:rPr>
        <w:t>(2) Epistemic Detachment &amp; Technological Hubris (Chapter VI, § 6.5 [¶ 76 bis]):</w:t>
      </w:r>
      <w:r>
        <w:rPr>
          <w:rFonts w:ascii="Calibri" w:hAnsi="Calibri"/>
          <w:color w:val="1E293B"/>
          <w:sz w:val="19"/>
        </w:rPr>
        <w:t xml:space="preserve"> Demonstrates how remote signals and uncorroborated sensor data generate deadly confirmation bias, a flaw mechanized and scaled in 2026 by CENTCOM's automated Palantir Maven / Claude AI targeting kill chain.</w:t>
      </w:r>
    </w:p>
    <w:p>
      <w:pPr>
        <w:pStyle w:val="ListBullet"/>
        <w:spacing w:before="20" w:after="40"/>
      </w:pPr>
      <w:r>
        <w:rPr>
          <w:rFonts w:ascii="Calibri" w:hAnsi="Calibri"/>
          <w:b/>
          <w:color w:val="1E293B"/>
          <w:sz w:val="19"/>
        </w:rPr>
        <w:t>(3) Precautionary Temporal "Pattern-of-Life" Surveillance (Chapter VII, § 7.2 [¶ 81 quater]):</w:t>
      </w:r>
      <w:r>
        <w:rPr>
          <w:rFonts w:ascii="Calibri" w:hAnsi="Calibri"/>
          <w:color w:val="1E293B"/>
          <w:sz w:val="19"/>
        </w:rPr>
        <w:t xml:space="preserve"> Establishes that launching stand-off strikes without conducting pre-launch surveillance during peak civilian occupancy periods violates the affirmative duty of feasible precautions under AP I Art. 57.</w:t>
      </w:r>
    </w:p>
    <w:p>
      <w:pPr>
        <w:pStyle w:val="ListBullet"/>
        <w:spacing w:before="20" w:after="40"/>
      </w:pPr>
      <w:r>
        <w:rPr>
          <w:rFonts w:ascii="Calibri" w:hAnsi="Calibri"/>
          <w:b/>
          <w:color w:val="1E293B"/>
          <w:sz w:val="19"/>
        </w:rPr>
        <w:t>(4) Penetration &amp; Enclosed Slaughter Mechanics (Chapter VII, § 7.3 [¶ 83 ter]):</w:t>
      </w:r>
      <w:r>
        <w:rPr>
          <w:rFonts w:ascii="Calibri" w:hAnsi="Calibri"/>
          <w:color w:val="1E293B"/>
          <w:sz w:val="19"/>
        </w:rPr>
        <w:t xml:space="preserve"> Provides the ballistic benchmark establishing that delivering heavy blast/penetration munitions into an enclosed civilian structure where escape routes are sealed constitutes a disproportionate attack </w:t>
      </w:r>
      <w:r>
        <w:rPr>
          <w:rFonts w:ascii="Calibri" w:hAnsi="Calibri"/>
          <w:i/>
          <w:color w:val="1E293B"/>
          <w:sz w:val="19"/>
        </w:rPr>
        <w:t>per se</w:t>
      </w:r>
      <w:r>
        <w:rPr>
          <w:rFonts w:ascii="Calibri" w:hAnsi="Calibri"/>
          <w:color w:val="1E293B"/>
          <w:sz w:val="19"/>
        </w:rPr>
        <w:t xml:space="preserve"> under AP I Art. 51(5)(b).</w:t>
      </w:r>
    </w:p>
    <w:p>
      <w:pPr>
        <w:pStyle w:val="ListBullet"/>
        <w:spacing w:before="20" w:after="40"/>
      </w:pPr>
      <w:r>
        <w:rPr>
          <w:rFonts w:ascii="Calibri" w:hAnsi="Calibri"/>
          <w:b/>
          <w:color w:val="1E293B"/>
          <w:sz w:val="19"/>
        </w:rPr>
        <w:t>(5) Mandatory Advance Warning Requirement (Chapter VII, § 7.5 [¶ 85 bis]):</w:t>
      </w:r>
      <w:r>
        <w:rPr>
          <w:rFonts w:ascii="Calibri" w:hAnsi="Calibri"/>
          <w:color w:val="1E293B"/>
          <w:sz w:val="19"/>
        </w:rPr>
        <w:t xml:space="preserve"> Codifies that surprise kinetic attacks against facilities sheltering civilians without prior unheeded warning violate AP I Art. 57(2)(c) and Art. 65(2), converting the attack into an unambiguous war crime.</w:t>
      </w:r>
    </w:p>
    <w:p>
      <w:pPr>
        <w:pStyle w:val="ListBullet"/>
        <w:spacing w:before="20" w:after="40"/>
      </w:pPr>
      <w:r>
        <w:rPr>
          <w:rFonts w:ascii="Calibri" w:hAnsi="Calibri"/>
          <w:b/>
          <w:color w:val="1E293B"/>
          <w:sz w:val="19"/>
        </w:rPr>
        <w:t>(6) Upstream Concentration of Target Development Culpability (Chapter VIII, § 8.1 [¶ 88 ter]):</w:t>
      </w:r>
      <w:r>
        <w:rPr>
          <w:rFonts w:ascii="Calibri" w:hAnsi="Calibri"/>
          <w:color w:val="1E293B"/>
          <w:sz w:val="19"/>
        </w:rPr>
        <w:t xml:space="preserve"> Reaffirms that tactical delivery crews who execute programmed coordinates bear zero culpability, concentrating 100% of state and individual criminal responsibility upstream upon targeting nominators, algorithmic reviewers, and approving commanders.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1E293B"/>
          <w:sz w:val="20"/>
        </w:rPr>
        <w:t xml:space="preserve">38 bis. The Panel benchmarks this conclusion against the authoritative precedent established in </w:t>
      </w:r>
      <w:r>
        <w:rPr>
          <w:rFonts w:ascii="Calibri" w:hAnsi="Calibri"/>
          <w:b/>
          <w:color w:val="1E293B"/>
          <w:sz w:val="20"/>
        </w:rPr>
        <w:t>Case 08: *Al-Amiriyah Bomb Shelter Massacre* (Human Rights Watch, 1991)</w:t>
      </w:r>
      <w:r>
        <w:rPr>
          <w:rFonts w:ascii="Calibri" w:hAnsi="Calibri"/>
          <w:color w:val="1E293B"/>
          <w:sz w:val="20"/>
        </w:rPr>
        <w:t xml:space="preserve">. Following the destruction of Public Shelter No. 25 in Baghdad, the United States military similarly attempted to avoid legal liability by asserting that the facility had been secretly repurposed as an active military command-and-control communications center. Human Rights Watch conclusively determined that municipal infrastructure by design and public registration dedicated to civilian refuge retains an absolute presumption of civilian character under </w:t>
      </w:r>
      <w:r>
        <w:rPr>
          <w:rFonts w:ascii="Calibri" w:hAnsi="Calibri"/>
          <w:b/>
          <w:color w:val="1E293B"/>
          <w:sz w:val="20"/>
        </w:rPr>
        <w:t>AP I Article 52(3)</w:t>
      </w:r>
      <w:r>
        <w:rPr>
          <w:rFonts w:ascii="Calibri" w:hAnsi="Calibri"/>
          <w:color w:val="1E293B"/>
          <w:sz w:val="20"/>
        </w:rPr>
        <w:t xml:space="preserve"> and </w:t>
      </w:r>
      <w:r>
        <w:rPr>
          <w:rFonts w:ascii="Calibri" w:hAnsi="Calibri"/>
          <w:b/>
          <w:color w:val="1E293B"/>
          <w:sz w:val="20"/>
        </w:rPr>
        <w:t>Article 65</w:t>
      </w:r>
      <w:r>
        <w:rPr>
          <w:rFonts w:ascii="Calibri" w:hAnsi="Calibri"/>
          <w:color w:val="1E293B"/>
          <w:sz w:val="20"/>
        </w:rPr>
        <w:t>, which cannot be extinguished by uncorroborated, internal intelligence inferences. In Minab, where the Shajareh Tayyebeh School was physically segregated by a 2.8-meter reinforced partition wall and operated for ten consecutive academic years as a licensed primary school, CENTCOM’s reliance on stale pre-2016 parcel files completely fails to rebut the mandatory presumption of civilian protection.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Cadastral Identity &amp; Physical Architecture of the School</w:t>
      </w:r>
    </w:p>
    <w:p>
      <w:pPr>
        <w:spacing w:before="40" w:after="60"/>
        <w:ind w:left="432"/>
      </w:pPr>
      <w:r>
        <w:rPr>
          <w:b/>
          <w:sz w:val="19"/>
        </w:rPr>
        <w:t xml:space="preserve">39. </w:t>
      </w:r>
      <w:r>
        <w:rPr>
          <w:rFonts w:ascii="Calibri" w:hAnsi="Calibri"/>
          <w:color w:val="1E293B"/>
          <w:sz w:val="19"/>
        </w:rPr>
        <w:t xml:space="preserve">The </w:t>
      </w:r>
      <w:r>
        <w:rPr>
          <w:rFonts w:ascii="Calibri" w:hAnsi="Calibri"/>
          <w:i/>
          <w:color w:val="1E293B"/>
          <w:sz w:val="19"/>
        </w:rPr>
        <w:t>Shajareh Tayyebeh Girls' Elementary School</w:t>
      </w:r>
      <w:r>
        <w:rPr>
          <w:rFonts w:ascii="Calibri" w:hAnsi="Calibri"/>
          <w:color w:val="1E293B"/>
          <w:sz w:val="19"/>
        </w:rPr>
        <w:t xml:space="preserve"> (</w:t>
      </w:r>
      <w:r>
        <w:rPr>
          <w:rFonts w:ascii="Calibri" w:hAnsi="Calibri"/>
          <w:i/>
          <w:color w:val="1E293B"/>
          <w:sz w:val="19"/>
        </w:rPr>
        <w:t>Dabestan-e Dokhtaraneh Shajareh Tayyebeh</w:t>
      </w:r>
      <w:r>
        <w:rPr>
          <w:rFonts w:ascii="Calibri" w:hAnsi="Calibri"/>
          <w:color w:val="1E293B"/>
          <w:sz w:val="19"/>
        </w:rPr>
        <w:t xml:space="preserve">) is situated along the eastern perimeter of Shahid Beheshti Boulevard in the Taleghani residential neighborhood of Minab, Hormozgan Province, Islamic Republic of Iran, at geographic coordinates </w:t>
      </w:r>
      <w:r>
        <w:rPr>
          <w:rFonts w:ascii="Consolas" w:hAnsi="Consolas"/>
          <w:color w:val="831843"/>
          <w:sz w:val="18"/>
        </w:rPr>
        <w:t>27.1352° N, 57.0805° E</w:t>
      </w:r>
      <w:r>
        <w:rPr>
          <w:rFonts w:ascii="Calibri" w:hAnsi="Calibri"/>
          <w:color w:val="1E293B"/>
          <w:sz w:val="19"/>
        </w:rPr>
        <w:t xml:space="preserve"> (EXH-SAT-001.4).</w:t>
      </w:r>
    </w:p>
    <w:p>
      <w:pPr>
        <w:spacing w:before="40" w:after="60"/>
        <w:ind w:left="432"/>
      </w:pPr>
      <w:r>
        <w:rPr>
          <w:b/>
          <w:sz w:val="19"/>
        </w:rPr>
        <w:t xml:space="preserve">40. </w:t>
      </w:r>
      <w:r>
        <w:rPr>
          <w:rFonts w:ascii="Calibri" w:hAnsi="Calibri"/>
          <w:color w:val="1E293B"/>
          <w:sz w:val="19"/>
        </w:rPr>
        <w:t>The facility occupied a municipally registered, enclosed parcel comprising a total surface area of 4,250 square meters (measuring 85 meters on its north-south axis by 50 meters on its east-west axis). The built infrastructure comprised:</w:t>
      </w:r>
    </w:p>
    <w:p>
      <w:pPr>
        <w:pStyle w:val="ListBullet"/>
        <w:spacing w:before="20" w:after="40"/>
        <w:ind w:left="576"/>
      </w:pPr>
      <w:r>
        <w:rPr>
          <w:rFonts w:ascii="Calibri" w:hAnsi="Calibri"/>
          <w:b/>
          <w:color w:val="1E293B"/>
          <w:sz w:val="19"/>
        </w:rPr>
        <w:t>(a)</w:t>
      </w:r>
      <w:r>
        <w:rPr>
          <w:rFonts w:ascii="Calibri" w:hAnsi="Calibri"/>
          <w:color w:val="1E293B"/>
          <w:sz w:val="19"/>
        </w:rPr>
        <w:t xml:space="preserve"> A two-story reinforced concrete and masonry classroom building possessing approximately 1,450 square meters of instructional floor space, divided into eight primary classrooms, a library, and specialized pedagogical facilities;</w:t>
      </w:r>
    </w:p>
    <w:p>
      <w:pPr>
        <w:pStyle w:val="ListBullet"/>
        <w:spacing w:before="20" w:after="40"/>
        <w:ind w:left="576"/>
      </w:pPr>
      <w:r>
        <w:rPr>
          <w:rFonts w:ascii="Calibri" w:hAnsi="Calibri"/>
          <w:b/>
          <w:color w:val="1E293B"/>
          <w:sz w:val="19"/>
        </w:rPr>
        <w:t>(b)</w:t>
      </w:r>
      <w:r>
        <w:rPr>
          <w:rFonts w:ascii="Calibri" w:hAnsi="Calibri"/>
          <w:color w:val="1E293B"/>
          <w:sz w:val="19"/>
        </w:rPr>
        <w:t xml:space="preserve"> An administrative wing located on the ground floor housing offices for school leadership, guidance counselors, and administrative personnel; and</w:t>
      </w:r>
    </w:p>
    <w:p>
      <w:pPr>
        <w:pStyle w:val="ListBullet"/>
        <w:spacing w:before="20" w:after="40"/>
        <w:ind w:left="576"/>
      </w:pPr>
      <w:r>
        <w:rPr>
          <w:rFonts w:ascii="Calibri" w:hAnsi="Calibri"/>
          <w:b/>
          <w:color w:val="1E293B"/>
          <w:sz w:val="19"/>
        </w:rPr>
        <w:t>(c)</w:t>
      </w:r>
      <w:r>
        <w:rPr>
          <w:rFonts w:ascii="Calibri" w:hAnsi="Calibri"/>
          <w:color w:val="1E293B"/>
          <w:sz w:val="19"/>
        </w:rPr>
        <w:t xml:space="preserve"> An enclosed asphalt courtyard and playground equipped with fixed, brightly colored children's recreational apparatus (swings, slides, climbing frames finished in high-visibility yellow, cyan, and magenta coatings) and painted surface demarcations for student morning assemblies and athletic activities (basketball and volleyball courts) (EXH-SAT-001.3).</w:t>
      </w:r>
    </w:p>
    <w:p>
      <w:pPr>
        <w:spacing w:before="40" w:after="80" w:line="276" w:lineRule="auto"/>
      </w:pPr>
      <w:r>
        <w:rPr>
          <w:rFonts w:ascii="Calibri" w:hAnsi="Calibri"/>
          <w:color w:val="1E293B"/>
          <w:sz w:val="20"/>
        </w:rPr>
        <w:t>40 bis. Access to the facility was obtained exclusively through a dedicated civilian entrance gate facing west onto Shahid Beheshti Boulevard. The civilian perimeter was functionally and physically isolated from surrounding properties, standing a measured distance of 380 meters south of the northern checkpoint providing entry to the adjacent naval station.</w:t>
      </w:r>
    </w:p>
    <w:p>
      <w:pPr>
        <w:spacing w:before="200" w:after="60"/>
      </w:pPr>
      <w:r>
        <w:rPr>
          <w:rFonts w:ascii="Calibri" w:hAnsi="Calibri"/>
          <w:b/>
          <w:color w:val="334155"/>
          <w:sz w:val="22"/>
        </w:rPr>
        <w:t>4.2 Historical Status, Municipal Conversion &amp; The 2016 Concrete Partition Wall</w:t>
      </w:r>
    </w:p>
    <w:p>
      <w:pPr>
        <w:spacing w:before="40" w:after="60"/>
        <w:ind w:left="432"/>
      </w:pPr>
      <w:r>
        <w:rPr>
          <w:b/>
          <w:sz w:val="19"/>
        </w:rPr>
        <w:t xml:space="preserve">41. </w:t>
      </w:r>
      <w:r>
        <w:rPr>
          <w:rFonts w:ascii="Calibri" w:hAnsi="Calibri"/>
          <w:color w:val="1E293B"/>
          <w:sz w:val="19"/>
        </w:rPr>
        <w:t>Historical geospatial imagery dated between October 14, 2013, and November 22, 2015 (</w:t>
      </w:r>
      <w:r>
        <w:rPr>
          <w:rFonts w:ascii="Calibri" w:hAnsi="Calibri"/>
          <w:color w:val="2563EB"/>
          <w:sz w:val="19"/>
          <w:u w:val="single"/>
        </w:rPr>
        <w:t>EXH-SAT-001.1</w:t>
      </w:r>
      <w:r>
        <w:rPr>
          <w:rFonts w:ascii="Calibri" w:hAnsi="Calibri"/>
          <w:color w:val="1E293B"/>
          <w:sz w:val="19"/>
        </w:rPr>
        <w:t>), indicates that prior to 2016 the parcel formed part of the peripheral administrative buffer zone of an Islamic Revolutionary Guard Corps (IRGC) Naval Logistics Base. During that period, no continuous masonry barrier separated the structure from the northern naval compound, and unpaved interior tracks connected the parcel to military storage depots.</w:t>
      </w:r>
    </w:p>
    <w:p>
      <w:pPr>
        <w:spacing w:before="40" w:after="60"/>
        <w:ind w:left="432"/>
      </w:pPr>
      <w:r>
        <w:rPr>
          <w:b/>
          <w:sz w:val="19"/>
        </w:rPr>
        <w:t xml:space="preserve">42. </w:t>
      </w:r>
      <w:r>
        <w:rPr>
          <w:rFonts w:ascii="Calibri" w:hAnsi="Calibri"/>
          <w:color w:val="1E293B"/>
          <w:sz w:val="19"/>
        </w:rPr>
        <w:t>However, official cadastral registries and verified multi-spectral satellite imagery acquired by Planet Labs and Maxar WorldView-3 between February 12 and August 28, 2016 (</w:t>
      </w:r>
      <w:r>
        <w:rPr>
          <w:rFonts w:ascii="Calibri" w:hAnsi="Calibri"/>
          <w:color w:val="2563EB"/>
          <w:sz w:val="19"/>
          <w:u w:val="single"/>
        </w:rPr>
        <w:t>EXH-SAT-001.2</w:t>
      </w:r>
      <w:r>
        <w:rPr>
          <w:rFonts w:ascii="Calibri" w:hAnsi="Calibri"/>
          <w:color w:val="1E293B"/>
          <w:sz w:val="19"/>
        </w:rPr>
        <w:t>), confirm that the parcel underwent a permanent physical and legal transformation:</w:t>
      </w:r>
    </w:p>
    <w:p>
      <w:pPr>
        <w:pStyle w:val="ListBullet"/>
        <w:spacing w:before="20" w:after="40"/>
        <w:ind w:left="576"/>
      </w:pPr>
      <w:r>
        <w:rPr>
          <w:rFonts w:ascii="Calibri" w:hAnsi="Calibri"/>
          <w:b/>
          <w:color w:val="1E293B"/>
          <w:sz w:val="19"/>
        </w:rPr>
        <w:t>(a) Physical Segregation:</w:t>
      </w:r>
      <w:r>
        <w:rPr>
          <w:rFonts w:ascii="Calibri" w:hAnsi="Calibri"/>
          <w:color w:val="1E293B"/>
          <w:sz w:val="19"/>
        </w:rPr>
        <w:t xml:space="preserve"> Between February and August 2016, a continuous, reinforced concrete masonry partition wall measuring </w:t>
      </w:r>
      <w:r>
        <w:rPr>
          <w:rFonts w:ascii="Calibri" w:hAnsi="Calibri"/>
          <w:b/>
          <w:color w:val="1E293B"/>
          <w:sz w:val="19"/>
        </w:rPr>
        <w:t>2.8 meters in height</w:t>
      </w:r>
      <w:r>
        <w:rPr>
          <w:rFonts w:ascii="Calibri" w:hAnsi="Calibri"/>
          <w:color w:val="1E293B"/>
          <w:sz w:val="19"/>
        </w:rPr>
        <w:t xml:space="preserve"> was erected along the entire northern and eastern perimeter of the school parcel, physically severing all geographic and vehicular connectivity with the adjacent naval compound;</w:t>
      </w:r>
    </w:p>
    <w:p>
      <w:pPr>
        <w:pStyle w:val="ListBullet"/>
        <w:spacing w:before="20" w:after="40"/>
        <w:ind w:left="576"/>
      </w:pPr>
      <w:r>
        <w:rPr>
          <w:rFonts w:ascii="Calibri" w:hAnsi="Calibri"/>
          <w:b/>
          <w:color w:val="1E293B"/>
          <w:sz w:val="19"/>
        </w:rPr>
        <w:t>(b) Demolition of Military Access:</w:t>
      </w:r>
      <w:r>
        <w:rPr>
          <w:rFonts w:ascii="Calibri" w:hAnsi="Calibri"/>
          <w:color w:val="1E293B"/>
          <w:sz w:val="19"/>
        </w:rPr>
        <w:t xml:space="preserve"> All pre-existing vehicular access gates and transit corridors linking the parcel to the naval base were demolished and sealed;</w:t>
      </w:r>
    </w:p>
    <w:p>
      <w:pPr>
        <w:pStyle w:val="ListBullet"/>
        <w:spacing w:before="20" w:after="40"/>
        <w:ind w:left="576"/>
      </w:pPr>
      <w:r>
        <w:rPr>
          <w:rFonts w:ascii="Calibri" w:hAnsi="Calibri"/>
          <w:b/>
          <w:color w:val="1E293B"/>
          <w:sz w:val="19"/>
        </w:rPr>
        <w:t>(c) Formal Municipal Licensing:</w:t>
      </w:r>
      <w:r>
        <w:rPr>
          <w:rFonts w:ascii="Calibri" w:hAnsi="Calibri"/>
          <w:color w:val="1E293B"/>
          <w:sz w:val="19"/>
        </w:rPr>
        <w:t xml:space="preserve"> The property was formally transferred to the Iranian Ministry of Education (Department of Education of Hormozgan Province, Minab District) under Institutional Accreditation Code </w:t>
      </w:r>
      <w:r>
        <w:rPr>
          <w:rFonts w:ascii="Consolas" w:hAnsi="Consolas"/>
          <w:color w:val="831843"/>
          <w:sz w:val="18"/>
        </w:rPr>
        <w:t>96142081</w:t>
      </w:r>
      <w:r>
        <w:rPr>
          <w:rFonts w:ascii="Calibri" w:hAnsi="Calibri"/>
          <w:color w:val="1E293B"/>
          <w:sz w:val="19"/>
        </w:rPr>
        <w:t xml:space="preserve">, operating continuously as an active, public primary educational facility for female pupils for </w:t>
      </w:r>
      <w:r>
        <w:rPr>
          <w:rFonts w:ascii="Calibri" w:hAnsi="Calibri"/>
          <w:b/>
          <w:color w:val="1E293B"/>
          <w:sz w:val="19"/>
        </w:rPr>
        <w:t>ten consecutive academic years (2016–2026)</w:t>
      </w:r>
      <w:r>
        <w:rPr>
          <w:rFonts w:ascii="Calibri" w:hAnsi="Calibri"/>
          <w:color w:val="1E293B"/>
          <w:sz w:val="19"/>
        </w:rPr>
        <w:t xml:space="preserve"> (</w:t>
      </w:r>
      <w:r>
        <w:rPr>
          <w:rFonts w:ascii="Calibri" w:hAnsi="Calibri"/>
          <w:color w:val="2563EB"/>
          <w:sz w:val="19"/>
          <w:u w:val="single"/>
        </w:rPr>
        <w:t>EXH-VIC-005.3</w:t>
      </w:r>
      <w:r>
        <w:rPr>
          <w:rFonts w:ascii="Calibri" w:hAnsi="Calibri"/>
          <w:color w:val="1E293B"/>
          <w:sz w:val="19"/>
        </w:rPr>
        <w:t>).</w:t>
      </w:r>
    </w:p>
    <w:p>
      <w:pPr>
        <w:spacing w:before="40" w:after="60"/>
        <w:ind w:left="432"/>
      </w:pPr>
      <w:r>
        <w:rPr>
          <w:b/>
          <w:sz w:val="19"/>
        </w:rPr>
        <w:t xml:space="preserve">43. </w:t>
      </w:r>
      <w:r>
        <w:rPr>
          <w:rFonts w:ascii="Calibri" w:hAnsi="Calibri"/>
          <w:color w:val="1E293B"/>
          <w:sz w:val="19"/>
        </w:rPr>
        <w:t>Sub-meter GIS vector analysis (</w:t>
      </w:r>
      <w:r>
        <w:rPr>
          <w:rFonts w:ascii="Calibri" w:hAnsi="Calibri"/>
          <w:color w:val="2563EB"/>
          <w:sz w:val="19"/>
          <w:u w:val="single"/>
        </w:rPr>
        <w:t>EXH-SAT-001.4</w:t>
      </w:r>
      <w:r>
        <w:rPr>
          <w:rFonts w:ascii="Calibri" w:hAnsi="Calibri"/>
          <w:color w:val="1E293B"/>
          <w:sz w:val="19"/>
        </w:rPr>
        <w:t xml:space="preserve">) demonstrates that the school's central classroom wing stood 18.4 meters south of the 2.8-meter concrete partition wall, and </w:t>
      </w:r>
      <w:r>
        <w:rPr>
          <w:rFonts w:ascii="Calibri" w:hAnsi="Calibri"/>
          <w:b/>
          <w:color w:val="1E293B"/>
          <w:sz w:val="19"/>
        </w:rPr>
        <w:t>42.0 meters</w:t>
      </w:r>
      <w:r>
        <w:rPr>
          <w:rFonts w:ascii="Calibri" w:hAnsi="Calibri"/>
          <w:color w:val="1E293B"/>
          <w:sz w:val="19"/>
        </w:rPr>
        <w:t xml:space="preserve"> south of the nearest military structure inside the active naval facility—a single-story logistics auxiliary storage shed (</w:t>
      </w:r>
      <w:r>
        <w:rPr>
          <w:rFonts w:ascii="Consolas" w:hAnsi="Consolas"/>
          <w:color w:val="831843"/>
          <w:sz w:val="18"/>
        </w:rPr>
        <w:t>27.1360° N, 57.0818° E</w:t>
      </w:r>
      <w:r>
        <w:rPr>
          <w:rFonts w:ascii="Calibri" w:hAnsi="Calibri"/>
          <w:color w:val="1E293B"/>
          <w:sz w:val="19"/>
        </w:rPr>
        <w:t>).</w:t>
      </w:r>
    </w:p>
    <w:p>
      <w:pPr>
        <w:spacing w:before="40" w:after="80" w:line="276" w:lineRule="auto"/>
      </w:pPr>
      <w:r>
        <w:rPr>
          <w:rFonts w:ascii="Calibri" w:hAnsi="Calibri"/>
          <w:color w:val="1E293B"/>
          <w:sz w:val="20"/>
        </w:rPr>
        <w:t>43 bis. Systematic review of 142 distinct high-resolution commercial satellite passes collected between September 2016 and February 2026 (</w:t>
      </w:r>
      <w:r>
        <w:rPr>
          <w:rFonts w:ascii="Calibri" w:hAnsi="Calibri"/>
          <w:color w:val="2563EB"/>
          <w:sz w:val="20"/>
          <w:u w:val="single"/>
        </w:rPr>
        <w:t>EXH-SAT-001.3</w:t>
      </w:r>
      <w:r>
        <w:rPr>
          <w:rFonts w:ascii="Calibri" w:hAnsi="Calibri"/>
          <w:color w:val="1E293B"/>
          <w:sz w:val="20"/>
        </w:rPr>
        <w:t>) establishes the complete absence of military activity within the school perimeter over the decade preceding the strike. Zero military vehicles, defensive fortifications, armaments, weapon emplacements, communications antennas, or uniformed personnel were detected within the walled school compound. Conversely, optical imagery captured during daytime overflights consistently documented established patterns of civilian life, including regular clusters of child pedestrians, student assembly formations in the courtyard, and civilian passenger transport vehicles congregated outside the western gate.</w:t>
      </w:r>
    </w:p>
    <w:p>
      <w:pPr>
        <w:spacing w:before="200" w:after="60"/>
      </w:pPr>
      <w:r>
        <w:rPr>
          <w:rFonts w:ascii="Calibri" w:hAnsi="Calibri"/>
          <w:b/>
          <w:color w:val="334155"/>
          <w:sz w:val="22"/>
        </w:rPr>
        <w:t>4.3 Pre-Strike Operational Chronology: The Academic Session of February 28, 2026</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instructional day of the academic week throughout the Islamic Republic of Iran.</w:t>
      </w:r>
    </w:p>
    <w:p>
      <w:pPr>
        <w:spacing w:before="40" w:after="60"/>
        <w:ind w:left="432"/>
      </w:pPr>
      <w:r>
        <w:rPr>
          <w:b/>
          <w:sz w:val="19"/>
        </w:rPr>
        <w:t xml:space="preserve">45. </w:t>
      </w:r>
      <w:r>
        <w:rPr>
          <w:rFonts w:ascii="Calibri" w:hAnsi="Calibri"/>
          <w:color w:val="1E293B"/>
          <w:sz w:val="19"/>
        </w:rPr>
        <w:t>Between 08:00 and 08:30 IRST, approximately 140 female students arrived at the facility, joined by instructional faculty and administrative personnel. Outdoor morning assembly and physical exercise routines were conducted in the central courtyard under clear meteorological conditions with unobstructed daylight visibility.</w:t>
      </w:r>
    </w:p>
    <w:p>
      <w:pPr>
        <w:spacing w:before="40" w:after="80" w:line="276" w:lineRule="auto"/>
      </w:pPr>
      <w:r>
        <w:rPr>
          <w:rFonts w:ascii="Calibri" w:hAnsi="Calibri"/>
          <w:color w:val="1E293B"/>
          <w:sz w:val="20"/>
        </w:rPr>
        <w:t xml:space="preserve">45 bis. By 08:30 IRST, the morning assembly had concluded, and instructional classes commenced across all eight primary classrooms on the ground and second floors. At the moment immediately preceding the strike, </w:t>
      </w:r>
      <w:r>
        <w:rPr>
          <w:rFonts w:ascii="Calibri" w:hAnsi="Calibri"/>
          <w:b/>
          <w:color w:val="1E293B"/>
          <w:sz w:val="20"/>
        </w:rPr>
        <w:t>168 civilian individuals</w:t>
      </w:r>
      <w:r>
        <w:rPr>
          <w:rFonts w:ascii="Calibri" w:hAnsi="Calibri"/>
          <w:color w:val="1E293B"/>
          <w:sz w:val="20"/>
        </w:rPr>
        <w:t xml:space="preserve"> were present within the compound, comprising:</w:t>
      </w:r>
    </w:p>
    <w:p>
      <w:pPr>
        <w:pStyle w:val="ListBullet"/>
        <w:spacing w:before="20" w:after="40"/>
        <w:ind w:left="576"/>
      </w:pPr>
      <w:r>
        <w:rPr>
          <w:rFonts w:ascii="Calibri" w:hAnsi="Calibri"/>
          <w:b/>
          <w:color w:val="1E293B"/>
          <w:sz w:val="19"/>
        </w:rPr>
        <w:t>138 registered female students</w:t>
      </w:r>
      <w:r>
        <w:rPr>
          <w:rFonts w:ascii="Calibri" w:hAnsi="Calibri"/>
          <w:color w:val="1E293B"/>
          <w:sz w:val="19"/>
        </w:rPr>
        <w:t xml:space="preserve"> aged 7 to 12 years (Grades 1 through 6);</w:t>
      </w:r>
    </w:p>
    <w:p>
      <w:pPr>
        <w:pStyle w:val="ListBullet"/>
        <w:spacing w:before="20" w:after="40"/>
        <w:ind w:left="576"/>
      </w:pPr>
      <w:r>
        <w:rPr>
          <w:rFonts w:ascii="Calibri" w:hAnsi="Calibri"/>
          <w:b/>
          <w:color w:val="1E293B"/>
          <w:sz w:val="19"/>
        </w:rPr>
        <w:t>22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8 civilian custodial and support personnel</w:t>
      </w:r>
      <w:r>
        <w:rPr>
          <w:rFonts w:ascii="Calibri" w:hAnsi="Calibri"/>
          <w:color w:val="1E293B"/>
          <w:sz w:val="19"/>
        </w:rPr>
        <w:t>.</w:t>
      </w:r>
    </w:p>
    <w:p>
      <w:pPr>
        <w:spacing w:before="40" w:after="80" w:line="276" w:lineRule="auto"/>
      </w:pPr>
      <w:r>
        <w:rPr>
          <w:rFonts w:ascii="Calibri" w:hAnsi="Calibri"/>
          <w:color w:val="1E293B"/>
          <w:sz w:val="20"/>
        </w:rPr>
        <w:t>No air-raid sirens, civil defense warnings, or tactical notifications were sounded prior to the strike, and normal commercial and residential life continued along Shahid Beheshti Boulevard.</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 xml:space="preserve">On the morning of February 28, 2026, between 09:22:15 and 09:26:40 IRST, naval forces of the United States executed a coordinated, three-munition kinetic strike against the Shajareh Tayyebeh School compound. The chronological sequence, calibrated through seismic shockwave telemetry recorded by the Iranian Seismological Center (IRSC) broadband station </w:t>
      </w:r>
      <w:r>
        <w:rPr>
          <w:rFonts w:ascii="Consolas" w:hAnsi="Consolas"/>
          <w:color w:val="831843"/>
          <w:sz w:val="18"/>
        </w:rPr>
        <w:t>MNB</w:t>
      </w:r>
      <w:r>
        <w:rPr>
          <w:rFonts w:ascii="Calibri" w:hAnsi="Calibri"/>
          <w:color w:val="1E293B"/>
          <w:sz w:val="19"/>
        </w:rPr>
        <w:t xml:space="preserve"> (</w:t>
      </w:r>
      <w:r>
        <w:rPr>
          <w:rFonts w:ascii="Calibri" w:hAnsi="Calibri"/>
          <w:color w:val="2563EB"/>
          <w:sz w:val="19"/>
          <w:u w:val="single"/>
        </w:rPr>
        <w:t>EXH-MUN-002.5</w:t>
      </w:r>
      <w:r>
        <w:rPr>
          <w:rFonts w:ascii="Calibri" w:hAnsi="Calibri"/>
          <w:color w:val="1E293B"/>
          <w:sz w:val="19"/>
        </w:rPr>
        <w:t>), verified audiovisual recordings, and forensic engineering surveys (</w:t>
      </w:r>
      <w:r>
        <w:rPr>
          <w:rFonts w:ascii="Calibri" w:hAnsi="Calibri"/>
          <w:color w:val="2563EB"/>
          <w:sz w:val="19"/>
          <w:u w:val="single"/>
        </w:rPr>
        <w:t>EXH-SAT-001.5</w:t>
      </w:r>
      <w:r>
        <w:rPr>
          <w:rFonts w:ascii="Calibri" w:hAnsi="Calibri"/>
          <w:color w:val="1E293B"/>
          <w:sz w:val="19"/>
        </w:rPr>
        <w:t>), unfolded as follows:</w:t>
      </w:r>
    </w:p>
    <w:p>
      <w:pPr>
        <w:pStyle w:val="ListBullet"/>
        <w:spacing w:before="20" w:after="40"/>
        <w:ind w:left="576"/>
      </w:pPr>
      <w:r>
        <w:rPr>
          <w:rFonts w:ascii="Calibri" w:hAnsi="Calibri"/>
          <w:b/>
          <w:color w:val="1E293B"/>
          <w:sz w:val="19"/>
        </w:rPr>
        <w:t>09:22:15 IRST (Impact 1 — Mezzanine Penetration &amp; Pancake Collapse):</w:t>
      </w:r>
      <w:r>
        <w:rPr>
          <w:rFonts w:ascii="Calibri" w:hAnsi="Calibri"/>
          <w:color w:val="1E293B"/>
          <w:sz w:val="19"/>
        </w:rPr>
        <w:t xml:space="preserve"> The initial BGM-109 Tomahawk cruise missile, flying on an ingress heading of $018^\circ$ True North at Mach 0.72, penetrated the reinforced concrete roof slab of the central classroom building and detonated in the upper-story concourse. The explosive overpressure ($M_L = 0.82$) collapsed the interior load-bearing structures, precipitating a catastrophic pancake collapse of the second-floor concrete slab directly onto four active ground-floor classrooms. Scores of pupils and teachers were crushed or trapped beneath pulverized masonry;</w:t>
      </w:r>
    </w:p>
    <w:p>
      <w:pPr>
        <w:pStyle w:val="ListBullet"/>
        <w:spacing w:before="20" w:after="40"/>
        <w:ind w:left="576"/>
      </w:pPr>
      <w:r>
        <w:rPr>
          <w:rFonts w:ascii="Calibri" w:hAnsi="Calibri"/>
          <w:b/>
          <w:color w:val="1E293B"/>
          <w:sz w:val="19"/>
        </w:rPr>
        <w:t>09:24:30 IRST (Impact 2 — Emergency Egress Annihilation, $\Delta t = 135$ seconds):</w:t>
      </w:r>
      <w:r>
        <w:rPr>
          <w:rFonts w:ascii="Calibri" w:hAnsi="Calibri"/>
          <w:color w:val="1E293B"/>
          <w:sz w:val="19"/>
        </w:rPr>
        <w:t xml:space="preserve"> Exactly two minutes and fifteen seconds later, as surviving instructors and students attempted to evacuate the collapsing building, a second Tomahawk cruise missile struck the western architectural wing ($M_L = 0.79$). The warhead detonated directly upon the primary exterior reinforced escape stairwell, obliterating the evacuation corridor and killing fleeing students and faculty members;</w:t>
      </w:r>
    </w:p>
    <w:p>
      <w:pPr>
        <w:pStyle w:val="ListBullet"/>
        <w:spacing w:before="20" w:after="40"/>
        <w:ind w:left="576"/>
      </w:pPr>
      <w:r>
        <w:rPr>
          <w:rFonts w:ascii="Calibri" w:hAnsi="Calibri"/>
          <w:b/>
          <w:color w:val="1E293B"/>
          <w:sz w:val="19"/>
        </w:rPr>
        <w:t>09:26:40 IRST (Impact 3 — Courtyard Airburst &amp; Fragmentation Dispersion, $\Delta t = 130$ seconds):</w:t>
      </w:r>
      <w:r>
        <w:rPr>
          <w:rFonts w:ascii="Calibri" w:hAnsi="Calibri"/>
          <w:color w:val="1E293B"/>
          <w:sz w:val="19"/>
        </w:rPr>
        <w:t xml:space="preserve"> Exactly two minutes and ten seconds following the second detonation, a third Tomahawk missile impacted the center of the open courtyard assembly ground ($M_L = 0.81$). The munition generated a crater measuring </w:t>
      </w:r>
      <w:r>
        <w:rPr>
          <w:rFonts w:ascii="Calibri" w:hAnsi="Calibri"/>
          <w:b/>
          <w:color w:val="1E293B"/>
          <w:sz w:val="19"/>
        </w:rPr>
        <w:t>6.2 meters in diameter and 2.8 meters in depth</w:t>
      </w:r>
      <w:r>
        <w:rPr>
          <w:rFonts w:ascii="Calibri" w:hAnsi="Calibri"/>
          <w:color w:val="1E293B"/>
          <w:sz w:val="19"/>
        </w:rPr>
        <w:t>, dispersing high-velocity casing fragments across a 400-meter radius and incinerating surviving children, evacuees, and neighborhood first responders who had rushed onto the playground.</w:t>
      </w:r>
    </w:p>
    <w:p>
      <w:pPr>
        <w:spacing w:before="40" w:after="60"/>
        <w:ind w:left="432"/>
      </w:pPr>
      <w:r>
        <w:rPr>
          <w:b/>
          <w:sz w:val="19"/>
        </w:rPr>
        <w:t xml:space="preserve">47. </w:t>
      </w:r>
      <w:r>
        <w:rPr>
          <w:rFonts w:ascii="Calibri" w:hAnsi="Calibri"/>
          <w:color w:val="1E293B"/>
          <w:sz w:val="19"/>
        </w:rPr>
        <w:t xml:space="preserve">The physical delivery of three heavy cruise missiles into a single 4,250 sq. m civilian parcel at intervals of 135 and 130 seconds demonstrates flawless mechanical guidance. Applying the </w:t>
      </w:r>
      <w:r>
        <w:rPr>
          <w:rFonts w:ascii="Calibri" w:hAnsi="Calibri"/>
          <w:b/>
          <w:color w:val="1E293B"/>
          <w:sz w:val="19"/>
        </w:rPr>
        <w:t>Mechanical Perfection Standard</w:t>
      </w:r>
      <w:r>
        <w:rPr>
          <w:rFonts w:ascii="Calibri" w:hAnsi="Calibri"/>
          <w:color w:val="1E293B"/>
          <w:sz w:val="19"/>
        </w:rPr>
        <w:t xml:space="preserve"> articulated by the ICTY Office of the Prosecutor (</w:t>
      </w:r>
      <w:r>
        <w:rPr>
          <w:rFonts w:ascii="Calibri" w:hAnsi="Calibri"/>
          <w:b/>
          <w:color w:val="1E293B"/>
          <w:sz w:val="19"/>
        </w:rPr>
        <w:t>Case 01: *Belgrade Chinese Embassy Bombing*, § 85</w:t>
      </w:r>
      <w:r>
        <w:rPr>
          <w:rFonts w:ascii="Calibri" w:hAnsi="Calibri"/>
          <w:color w:val="1E293B"/>
          <w:sz w:val="19"/>
        </w:rPr>
        <w:t>), the weapons performed with sub-5-meter circular accuracy according to their uploaded navigation files. There was zero mechanical drift, zero guidance disruption, and zero aerodynamic deviation. The munitions struck precisely the coordinates programmed into their targeting matrices.</w:t>
      </w:r>
    </w:p>
    <w:p>
      <w:pPr>
        <w:spacing w:before="200" w:after="60"/>
      </w:pPr>
      <w:r>
        <w:rPr>
          <w:rFonts w:ascii="Calibri" w:hAnsi="Calibri"/>
          <w:b/>
          <w:color w:val="334155"/>
          <w:sz w:val="22"/>
        </w:rPr>
        <w:t>4.5 The Adversarial Positions: Military Nomination Claims vs. Verified Ground Truth</w:t>
      </w:r>
    </w:p>
    <w:p>
      <w:pPr>
        <w:spacing w:before="40" w:after="60"/>
        <w:ind w:left="432"/>
      </w:pPr>
      <w:r>
        <w:rPr>
          <w:b/>
          <w:sz w:val="19"/>
        </w:rPr>
        <w:t xml:space="preserve">48. </w:t>
      </w:r>
      <w:r>
        <w:rPr>
          <w:rFonts w:ascii="Calibri" w:hAnsi="Calibri"/>
          <w:color w:val="1E293B"/>
          <w:sz w:val="19"/>
        </w:rPr>
        <w:t>Following the strike, the United States Department of Defense and United States Central Command (CENTCOM) issued official statements addressing the incident (</w:t>
      </w:r>
      <w:r>
        <w:rPr>
          <w:rFonts w:ascii="Calibri" w:hAnsi="Calibri"/>
          <w:color w:val="2563EB"/>
          <w:sz w:val="19"/>
          <w:u w:val="single"/>
        </w:rPr>
        <w:t>EXH-CENTCOM-004.1</w:t>
      </w:r>
      <w:r>
        <w:rPr>
          <w:rFonts w:ascii="Calibri" w:hAnsi="Calibri"/>
          <w:color w:val="1E293B"/>
          <w:sz w:val="19"/>
        </w:rPr>
        <w:t>):</w:t>
      </w:r>
    </w:p>
    <w:p>
      <w:pPr>
        <w:pStyle w:val="ListBullet"/>
        <w:spacing w:before="20" w:after="40"/>
        <w:ind w:left="576"/>
      </w:pPr>
      <w:r>
        <w:rPr>
          <w:rFonts w:ascii="Calibri" w:hAnsi="Calibri"/>
          <w:b/>
          <w:color w:val="1E293B"/>
          <w:sz w:val="19"/>
        </w:rPr>
        <w:t>(a) The Official Military Narrative:</w:t>
      </w:r>
      <w:r>
        <w:rPr>
          <w:rFonts w:ascii="Calibri" w:hAnsi="Calibri"/>
          <w:color w:val="1E293B"/>
          <w:sz w:val="19"/>
        </w:rPr>
        <w:t xml:space="preserve"> In press briefings between March 4 and March 12, 2026, Pentagon officials acknowledged conducting precision strikes in Minab as part of the opening phase of Operation Epic Fury, but characterized the destruction of the school as an </w:t>
      </w:r>
      <w:r>
        <w:rPr>
          <w:rFonts w:ascii="Calibri" w:hAnsi="Calibri"/>
          <w:i/>
          <w:color w:val="1E293B"/>
          <w:sz w:val="19"/>
        </w:rPr>
        <w:t>"unintended targeting error arising from historic coordinate data."</w:t>
      </w:r>
    </w:p>
    <w:p>
      <w:pPr>
        <w:pStyle w:val="ListBullet"/>
        <w:spacing w:before="20" w:after="40"/>
        <w:ind w:left="576"/>
      </w:pPr>
      <w:r>
        <w:rPr>
          <w:rFonts w:ascii="Calibri" w:hAnsi="Calibri"/>
          <w:b/>
          <w:color w:val="1E293B"/>
          <w:sz w:val="19"/>
        </w:rPr>
        <w:t>(b) Disclosures of the CENTCOM AR 15-6 Inquiry:</w:t>
      </w:r>
      <w:r>
        <w:rPr>
          <w:rFonts w:ascii="Calibri" w:hAnsi="Calibri"/>
          <w:color w:val="1E293B"/>
          <w:sz w:val="19"/>
        </w:rPr>
        <w:t xml:space="preserve"> Leaked findings of the internal military investigation commissioned under Army Regulation 15-6 (</w:t>
      </w:r>
      <w:r>
        <w:rPr>
          <w:rFonts w:ascii="Calibri" w:hAnsi="Calibri"/>
          <w:color w:val="2563EB"/>
          <w:sz w:val="19"/>
          <w:u w:val="single"/>
        </w:rPr>
        <w:t>EXH-CENTCOM-004.2</w:t>
      </w:r>
      <w:r>
        <w:rPr>
          <w:rFonts w:ascii="Calibri" w:hAnsi="Calibri"/>
          <w:color w:val="1E293B"/>
          <w:sz w:val="19"/>
        </w:rPr>
        <w:t>) and investigative reporting (</w:t>
      </w:r>
      <w:r>
        <w:rPr>
          <w:rFonts w:ascii="Calibri" w:hAnsi="Calibri"/>
          <w:i/>
          <w:color w:val="1E293B"/>
          <w:sz w:val="19"/>
        </w:rPr>
        <w:t>Bloomberg</w:t>
      </w:r>
      <w:r>
        <w:rPr>
          <w:rFonts w:ascii="Calibri" w:hAnsi="Calibri"/>
          <w:color w:val="1E293B"/>
          <w:sz w:val="19"/>
        </w:rPr>
        <w:t>, September 18, 2026) revealed the operational mechanism of the error:</w:t>
      </w:r>
    </w:p>
    <w:p>
      <w:pPr>
        <w:spacing w:before="40" w:after="60"/>
        <w:ind w:left="432"/>
      </w:pPr>
      <w:r>
        <w:rPr>
          <w:b/>
          <w:sz w:val="19"/>
        </w:rPr>
        <w:t xml:space="preserve">1. </w:t>
      </w:r>
      <w:r>
        <w:rPr>
          <w:rFonts w:ascii="Calibri" w:hAnsi="Calibri"/>
          <w:color w:val="1E293B"/>
          <w:sz w:val="19"/>
        </w:rPr>
        <w:t xml:space="preserve">Target nomination folder </w:t>
      </w:r>
      <w:r>
        <w:rPr>
          <w:rFonts w:ascii="Consolas" w:hAnsi="Consolas"/>
          <w:color w:val="831843"/>
          <w:sz w:val="18"/>
        </w:rPr>
        <w:t>TDS-2026-IR-0814</w:t>
      </w:r>
      <w:r>
        <w:rPr>
          <w:rFonts w:ascii="Calibri" w:hAnsi="Calibri"/>
          <w:color w:val="1E293B"/>
          <w:sz w:val="19"/>
        </w:rPr>
        <w:t xml:space="preserve"> was populated using obsolete </w:t>
      </w:r>
      <w:r>
        <w:rPr>
          <w:rFonts w:ascii="Calibri" w:hAnsi="Calibri"/>
          <w:b/>
          <w:color w:val="1E293B"/>
          <w:sz w:val="19"/>
        </w:rPr>
        <w:t>Defense Intelligence Agency (DIA) records compiled prior to 2016</w:t>
      </w:r>
      <w:r>
        <w:rPr>
          <w:rFonts w:ascii="Calibri" w:hAnsi="Calibri"/>
          <w:color w:val="1E293B"/>
          <w:sz w:val="19"/>
        </w:rPr>
        <w:t>, which classified the coordinate as an active IRGC naval logistics facility;</w:t>
      </w:r>
    </w:p>
    <w:p>
      <w:pPr>
        <w:spacing w:before="40" w:after="60"/>
        <w:ind w:left="432"/>
      </w:pPr>
      <w:r>
        <w:rPr>
          <w:b/>
          <w:sz w:val="19"/>
        </w:rPr>
        <w:t xml:space="preserve">2. </w:t>
      </w:r>
      <w:r>
        <w:rPr>
          <w:rFonts w:ascii="Calibri" w:hAnsi="Calibri"/>
          <w:color w:val="1E293B"/>
          <w:sz w:val="19"/>
        </w:rPr>
        <w:t xml:space="preserve">CENTCOM utilized the </w:t>
      </w:r>
      <w:r>
        <w:rPr>
          <w:rFonts w:ascii="Calibri" w:hAnsi="Calibri"/>
          <w:b/>
          <w:color w:val="1E293B"/>
          <w:sz w:val="19"/>
        </w:rPr>
        <w:t>Maven Smart System</w:t>
      </w:r>
      <w:r>
        <w:rPr>
          <w:rFonts w:ascii="Calibri" w:hAnsi="Calibri"/>
          <w:color w:val="1E293B"/>
          <w:sz w:val="19"/>
        </w:rPr>
        <w:t xml:space="preserve"> (developed by Palantir Technologies, integrating Anthropic’s Claude reasoning model) to synthesize intelligence feeds and draft target recommendations. Maven ingested the legacy pre-2016 military classification, maintaining a high-confidence target priority score;</w:t>
      </w:r>
    </w:p>
    <w:p>
      <w:pPr>
        <w:spacing w:before="40" w:after="60"/>
        <w:ind w:left="432"/>
      </w:pPr>
      <w:r>
        <w:rPr>
          <w:b/>
          <w:sz w:val="19"/>
        </w:rPr>
        <w:t xml:space="preserve">3. </w:t>
      </w:r>
      <w:r>
        <w:rPr>
          <w:rFonts w:ascii="Calibri" w:hAnsi="Calibri"/>
          <w:color w:val="1E293B"/>
          <w:sz w:val="19"/>
        </w:rPr>
        <w:t>While secondary intelligence branches had separately recorded the facility's 2016 physical partition and municipal registration as an elementary school, these records remained segregated in disconnected database silos and never propagated to the operational targeting layer;</w:t>
      </w:r>
    </w:p>
    <w:p>
      <w:pPr>
        <w:spacing w:before="40" w:after="60"/>
        <w:ind w:left="432"/>
      </w:pPr>
      <w:r>
        <w:rPr>
          <w:b/>
          <w:sz w:val="19"/>
        </w:rPr>
        <w:t xml:space="preserve">4. </w:t>
      </w:r>
      <w:r>
        <w:rPr>
          <w:rFonts w:ascii="Calibri" w:hAnsi="Calibri"/>
          <w:color w:val="1E293B"/>
          <w:sz w:val="19"/>
        </w:rPr>
        <w:t xml:space="preserve">During the opening 24 hours of combat operations, target review personnel processed over 1,000 strike recommendations under extreme cognitive saturation, exhibiting uncritical </w:t>
      </w:r>
      <w:r>
        <w:rPr>
          <w:rFonts w:ascii="Calibri" w:hAnsi="Calibri"/>
          <w:b/>
          <w:color w:val="1E293B"/>
          <w:sz w:val="19"/>
        </w:rPr>
        <w:t>automation bias</w:t>
      </w:r>
      <w:r>
        <w:rPr>
          <w:rFonts w:ascii="Calibri" w:hAnsi="Calibri"/>
          <w:color w:val="1E293B"/>
          <w:sz w:val="19"/>
        </w:rPr>
        <w:t xml:space="preserve"> and executing circular database validations matching coordinates against the Maven sheet without consulting updated commercial satellite imagery;</w:t>
      </w:r>
    </w:p>
    <w:p>
      <w:pPr>
        <w:spacing w:before="40" w:after="60"/>
        <w:ind w:left="432"/>
      </w:pPr>
      <w:r>
        <w:rPr>
          <w:b/>
          <w:sz w:val="19"/>
        </w:rPr>
        <w:t xml:space="preserve">5. </w:t>
      </w:r>
      <w:r>
        <w:rPr>
          <w:rFonts w:ascii="Calibri" w:hAnsi="Calibri"/>
          <w:color w:val="1E293B"/>
          <w:sz w:val="19"/>
        </w:rPr>
        <w:t xml:space="preserve">CENTCOM’s dedicated Civilian Harm Mitigation and Response (CHMR) cell had been reduced from ten personnel to a single analyst prior to hostilities, resulting in </w:t>
      </w:r>
      <w:r>
        <w:rPr>
          <w:rFonts w:ascii="Calibri" w:hAnsi="Calibri"/>
          <w:b/>
          <w:color w:val="1E293B"/>
          <w:sz w:val="19"/>
        </w:rPr>
        <w:t>zero civilian casualty vetting</w:t>
      </w:r>
      <w:r>
        <w:rPr>
          <w:rFonts w:ascii="Calibri" w:hAnsi="Calibri"/>
          <w:color w:val="1E293B"/>
          <w:sz w:val="19"/>
        </w:rPr>
        <w:t xml:space="preserve"> for the Minab target package; and</w:t>
      </w:r>
    </w:p>
    <w:p>
      <w:pPr>
        <w:spacing w:before="40" w:after="60"/>
        <w:ind w:left="432"/>
      </w:pPr>
      <w:r>
        <w:rPr>
          <w:b/>
          <w:sz w:val="19"/>
        </w:rPr>
        <w:t xml:space="preserve">6. </w:t>
      </w:r>
      <w:r>
        <w:rPr>
          <w:rFonts w:ascii="Calibri" w:hAnsi="Calibri"/>
          <w:color w:val="1E293B"/>
          <w:sz w:val="19"/>
        </w:rPr>
        <w:t>The Shajareh Tayyebeh School was omitted from CENTCOM’s automated No-Strike List (NSL), preventing algorithmic interruption of the firing solution.</w:t>
      </w:r>
    </w:p>
    <w:p>
      <w:pPr>
        <w:spacing w:before="40" w:after="80" w:line="276" w:lineRule="auto"/>
      </w:pPr>
      <w:r>
        <w:rPr>
          <w:rFonts w:ascii="Calibri" w:hAnsi="Calibri"/>
          <w:color w:val="1E293B"/>
          <w:sz w:val="20"/>
        </w:rPr>
        <w:t>48 bis. The on-site physical and forensic reality conclusively refutes the claim that the school functioned as a military objective. Independent investigations conducted by the United Nations Fact-Finding Mission (</w:t>
      </w:r>
      <w:r>
        <w:rPr>
          <w:rFonts w:ascii="Calibri" w:hAnsi="Calibri"/>
          <w:b/>
          <w:color w:val="1E293B"/>
          <w:sz w:val="20"/>
        </w:rPr>
        <w:t>UN Doc. A/HRC/63/61, ¶¶ 48–54</w:t>
      </w:r>
      <w:r>
        <w:rPr>
          <w:rFonts w:ascii="Calibri" w:hAnsi="Calibri"/>
          <w:color w:val="1E293B"/>
          <w:sz w:val="20"/>
        </w:rPr>
        <w:t>), international media organizations, and certified forensic specialists confirmed:</w:t>
      </w:r>
    </w:p>
    <w:p>
      <w:pPr>
        <w:pStyle w:val="ListBullet"/>
        <w:spacing w:before="20" w:after="40"/>
        <w:ind w:left="576"/>
      </w:pPr>
      <w:r>
        <w:rPr>
          <w:rFonts w:ascii="Calibri" w:hAnsi="Calibri"/>
          <w:color w:val="1E293B"/>
          <w:sz w:val="19"/>
        </w:rPr>
        <w:t>Zero military command equipment, cryptographic hardware, weapons caches, or military vehicles were present within the wreckage;</w:t>
      </w:r>
    </w:p>
    <w:p>
      <w:pPr>
        <w:pStyle w:val="ListBullet"/>
        <w:spacing w:before="20" w:after="40"/>
        <w:ind w:left="576"/>
      </w:pPr>
      <w:r>
        <w:rPr>
          <w:rFonts w:ascii="Calibri" w:hAnsi="Calibri"/>
          <w:color w:val="1E293B"/>
          <w:sz w:val="19"/>
        </w:rPr>
        <w:t>The physical debris consisted entirely of pediatric educational supplies: torn primary textbooks, notebooks, student backpacks, drawing sets, desks, and children's clothing; and</w:t>
      </w:r>
    </w:p>
    <w:p>
      <w:pPr>
        <w:pStyle w:val="ListBullet"/>
        <w:spacing w:before="20" w:after="40"/>
        <w:ind w:left="576"/>
      </w:pPr>
      <w:r>
        <w:rPr>
          <w:rFonts w:ascii="Calibri" w:hAnsi="Calibri"/>
          <w:color w:val="1E293B"/>
          <w:sz w:val="19"/>
        </w:rPr>
        <w:t>The single-story naval storage shed located 42 meters to the north suffered only superficial shockwave window breakage, proving that the three kinetic warheads were aimed directly at the civilian educational facility.</w:t>
      </w:r>
    </w:p>
    <w:p>
      <w:pPr>
        <w:spacing w:before="200" w:after="60"/>
      </w:pPr>
      <w:r>
        <w:rPr>
          <w:rFonts w:ascii="Calibri" w:hAnsi="Calibri"/>
          <w:b/>
          <w:color w:val="334155"/>
          <w:sz w:val="22"/>
        </w:rPr>
        <w:t>4.6 Forensic Casualty Census, Demographic Matrix &amp; Pathological Trauma</w:t>
      </w:r>
    </w:p>
    <w:p>
      <w:pPr>
        <w:spacing w:before="40" w:after="80" w:line="276" w:lineRule="auto"/>
      </w:pPr>
      <w:r>
        <w:rPr>
          <w:rFonts w:ascii="Calibri" w:hAnsi="Calibri"/>
          <w:color w:val="1E293B"/>
          <w:sz w:val="20"/>
        </w:rPr>
        <w:t>48 ter. Official forensic death registries compiled by the Hormozgan Provincial Department of Forensic Medicine (</w:t>
      </w:r>
      <w:r>
        <w:rPr>
          <w:rFonts w:ascii="Calibri" w:hAnsi="Calibri"/>
          <w:i/>
          <w:color w:val="1E293B"/>
          <w:sz w:val="20"/>
        </w:rPr>
        <w:t>Pezeshki Ghanouni</w:t>
      </w:r>
      <w:r>
        <w:rPr>
          <w:rFonts w:ascii="Calibri" w:hAnsi="Calibri"/>
          <w:color w:val="1E293B"/>
          <w:sz w:val="20"/>
        </w:rPr>
        <w:t xml:space="preserve">, </w:t>
      </w:r>
      <w:r>
        <w:rPr>
          <w:rFonts w:ascii="Calibri" w:hAnsi="Calibri"/>
          <w:color w:val="2563EB"/>
          <w:sz w:val="20"/>
          <w:u w:val="single"/>
        </w:rPr>
        <w:t>EXH-VIC-005.1</w:t>
      </w:r>
      <w:r>
        <w:rPr>
          <w:rFonts w:ascii="Calibri" w:hAnsi="Calibri"/>
          <w:color w:val="1E293B"/>
          <w:sz w:val="20"/>
        </w:rPr>
        <w:t>), hospital triage manifests (</w:t>
      </w:r>
      <w:r>
        <w:rPr>
          <w:rFonts w:ascii="Calibri" w:hAnsi="Calibri"/>
          <w:color w:val="2563EB"/>
          <w:sz w:val="20"/>
          <w:u w:val="single"/>
        </w:rPr>
        <w:t>EXH-VIC-005.2</w:t>
      </w:r>
      <w:r>
        <w:rPr>
          <w:rFonts w:ascii="Calibri" w:hAnsi="Calibri"/>
          <w:color w:val="1E293B"/>
          <w:sz w:val="20"/>
        </w:rPr>
        <w:t>), and certified Ministry of Education personnel records (</w:t>
      </w:r>
      <w:r>
        <w:rPr>
          <w:rFonts w:ascii="Calibri" w:hAnsi="Calibri"/>
          <w:color w:val="2563EB"/>
          <w:sz w:val="20"/>
          <w:u w:val="single"/>
        </w:rPr>
        <w:t>EXH-VIC-005.3</w:t>
      </w:r>
      <w:r>
        <w:rPr>
          <w:rFonts w:ascii="Calibri" w:hAnsi="Calibri"/>
          <w:color w:val="1E293B"/>
          <w:sz w:val="20"/>
        </w:rPr>
        <w:t>) establish the definitive casualty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primary pupils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Educational Staff Fatalities:</w:t>
      </w:r>
      <w:r>
        <w:rPr>
          <w:rFonts w:ascii="Calibri" w:hAnsi="Calibri"/>
          <w:color w:val="1E293B"/>
          <w:sz w:val="19"/>
        </w:rPr>
        <w:t xml:space="preserve"> </w:t>
      </w:r>
      <w:r>
        <w:rPr>
          <w:rFonts w:ascii="Calibri" w:hAnsi="Calibri"/>
          <w:b/>
          <w:color w:val="1E293B"/>
          <w:sz w:val="19"/>
        </w:rPr>
        <w:t>26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Civilian Support Fatalities:</w:t>
      </w:r>
      <w:r>
        <w:rPr>
          <w:rFonts w:ascii="Calibri" w:hAnsi="Calibri"/>
          <w:color w:val="1E293B"/>
          <w:sz w:val="19"/>
        </w:rPr>
        <w:t xml:space="preserve"> </w:t>
      </w:r>
      <w:r>
        <w:rPr>
          <w:rFonts w:ascii="Calibri" w:hAnsi="Calibri"/>
          <w:b/>
          <w:color w:val="1E293B"/>
          <w:sz w:val="19"/>
        </w:rPr>
        <w:t>10 certified custodial and maintenance personnel</w:t>
      </w:r>
      <w:r>
        <w:rPr>
          <w:rFonts w:ascii="Calibri" w:hAnsi="Calibri"/>
          <w:color w:val="1E293B"/>
          <w:sz w:val="19"/>
        </w:rPr>
        <w:t>.</w:t>
      </w:r>
    </w:p>
    <w:p>
      <w:pPr>
        <w:spacing w:before="40" w:after="80" w:line="276" w:lineRule="auto"/>
      </w:pPr>
      <w:r>
        <w:rPr>
          <w:rFonts w:ascii="Calibri" w:hAnsi="Calibri"/>
          <w:color w:val="1E293B"/>
          <w:sz w:val="20"/>
        </w:rPr>
        <w:t>48 quater. Forensic pathology examinations performed on the 156 deceased victims document the following primary causes of death:</w:t>
      </w:r>
    </w:p>
    <w:p>
      <w:pPr>
        <w:pStyle w:val="ListBullet"/>
        <w:spacing w:before="20" w:after="40"/>
        <w:ind w:left="576"/>
      </w:pPr>
      <w:r>
        <w:rPr>
          <w:rFonts w:ascii="Calibri" w:hAnsi="Calibri"/>
          <w:b/>
          <w:color w:val="1E293B"/>
          <w:sz w:val="19"/>
        </w:rPr>
        <w:t>(a) Blast Overpressure &amp; Structural Crushing (68% / 106 victims):</w:t>
      </w:r>
      <w:r>
        <w:rPr>
          <w:rFonts w:ascii="Calibri" w:hAnsi="Calibri"/>
          <w:color w:val="1E293B"/>
          <w:sz w:val="19"/>
        </w:rPr>
        <w:t xml:space="preserve"> Extreme traumatic polytrauma, catastrophic crushing injuries from collapsed reinforced concrete slabs, and traumatic avulsion directly caused by the pancake collapse of the second floor;</w:t>
      </w:r>
    </w:p>
    <w:p>
      <w:pPr>
        <w:pStyle w:val="ListBullet"/>
        <w:spacing w:before="20" w:after="40"/>
        <w:ind w:left="576"/>
      </w:pPr>
      <w:r>
        <w:rPr>
          <w:rFonts w:ascii="Calibri" w:hAnsi="Calibri"/>
          <w:b/>
          <w:color w:val="1E293B"/>
          <w:sz w:val="19"/>
        </w:rPr>
        <w:t>(b) High-Velocity Penetrating Fragmentation (22% / 34 victims):</w:t>
      </w:r>
      <w:r>
        <w:rPr>
          <w:rFonts w:ascii="Calibri" w:hAnsi="Calibri"/>
          <w:color w:val="1E293B"/>
          <w:sz w:val="19"/>
        </w:rPr>
        <w:t xml:space="preserve"> Multiple penetrating lacerations to the cranium, thorax, and abdominal cavities resulting from supersonic titanium casing fragments; and</w:t>
      </w:r>
    </w:p>
    <w:p>
      <w:pPr>
        <w:pStyle w:val="ListBullet"/>
        <w:spacing w:before="20" w:after="40"/>
        <w:ind w:left="576"/>
      </w:pPr>
      <w:r>
        <w:rPr>
          <w:rFonts w:ascii="Calibri" w:hAnsi="Calibri"/>
          <w:b/>
          <w:color w:val="1E293B"/>
          <w:sz w:val="19"/>
        </w:rPr>
        <w:t>(c) Thermal Injury &amp; Asphyxiation (10% / 16 victims):</w:t>
      </w:r>
      <w:r>
        <w:rPr>
          <w:rFonts w:ascii="Calibri" w:hAnsi="Calibri"/>
          <w:color w:val="1E293B"/>
          <w:sz w:val="19"/>
        </w:rPr>
        <w:t xml:space="preserve"> Third-degree thermal burns and fatal inhalation asphyxiation caused by secondary post-detonation fires.</w:t>
      </w:r>
    </w:p>
    <w:p>
      <w:pPr>
        <w:spacing w:before="40" w:after="80" w:line="276" w:lineRule="auto"/>
      </w:pPr>
      <w:r>
        <w:rPr>
          <w:rFonts w:ascii="Calibri" w:hAnsi="Calibri"/>
          <w:color w:val="1E293B"/>
          <w:sz w:val="20"/>
        </w:rPr>
        <w:t xml:space="preserve">48 quinquies. Emergency triage records from Shahid Mohammadi Hospital in Minab document medical treatment rendered to </w:t>
      </w:r>
      <w:r>
        <w:rPr>
          <w:rFonts w:ascii="Calibri" w:hAnsi="Calibri"/>
          <w:b/>
          <w:color w:val="1E293B"/>
          <w:sz w:val="20"/>
        </w:rPr>
        <w:t>95 surviving casualties</w:t>
      </w:r>
      <w:r>
        <w:rPr>
          <w:rFonts w:ascii="Calibri" w:hAnsi="Calibri"/>
          <w:color w:val="1E293B"/>
          <w:sz w:val="20"/>
        </w:rPr>
        <w:t>, of whom 78 were children. Documented traumatic pathologies include:</w:t>
      </w:r>
    </w:p>
    <w:p>
      <w:pPr>
        <w:pStyle w:val="ListBullet"/>
        <w:spacing w:before="20" w:after="40"/>
        <w:ind w:left="576"/>
      </w:pPr>
      <w:r>
        <w:rPr>
          <w:rFonts w:ascii="Calibri" w:hAnsi="Calibri"/>
          <w:b/>
          <w:color w:val="1E293B"/>
          <w:sz w:val="19"/>
        </w:rPr>
        <w:t>38 emergency surgical limb amputations</w:t>
      </w:r>
      <w:r>
        <w:rPr>
          <w:rFonts w:ascii="Calibri" w:hAnsi="Calibri"/>
          <w:color w:val="1E293B"/>
          <w:sz w:val="19"/>
        </w:rPr>
        <w:t xml:space="preserve"> performed on pediatric patients (girls aged 7–12 years);</w:t>
      </w:r>
    </w:p>
    <w:p>
      <w:pPr>
        <w:pStyle w:val="ListBullet"/>
        <w:spacing w:before="20" w:after="40"/>
        <w:ind w:left="576"/>
      </w:pPr>
      <w:r>
        <w:rPr>
          <w:rFonts w:ascii="Calibri" w:hAnsi="Calibri"/>
          <w:b/>
          <w:color w:val="1E293B"/>
          <w:sz w:val="19"/>
        </w:rPr>
        <w:t>24 certified cases of permanent bilateral acoustic trauma</w:t>
      </w:r>
      <w:r>
        <w:rPr>
          <w:rFonts w:ascii="Calibri" w:hAnsi="Calibri"/>
          <w:color w:val="1E293B"/>
          <w:sz w:val="19"/>
        </w:rPr>
        <w:t xml:space="preserve"> involving complete rupture of the tympanic membranes; and</w:t>
      </w:r>
    </w:p>
    <w:p>
      <w:pPr>
        <w:pStyle w:val="ListBullet"/>
        <w:spacing w:before="20" w:after="40"/>
        <w:ind w:left="576"/>
      </w:pPr>
      <w:r>
        <w:rPr>
          <w:rFonts w:ascii="Calibri" w:hAnsi="Calibri"/>
          <w:b/>
          <w:color w:val="1E293B"/>
          <w:sz w:val="19"/>
        </w:rPr>
        <w:t>19 certified cases of penetrating ocular trauma</w:t>
      </w:r>
      <w:r>
        <w:rPr>
          <w:rFonts w:ascii="Calibri" w:hAnsi="Calibri"/>
          <w:color w:val="1E293B"/>
          <w:sz w:val="19"/>
        </w:rPr>
        <w:t xml:space="preserve"> resulting in irreversible partial or total blindness.</w:t>
      </w:r>
    </w:p>
    <w:p>
      <w:pPr>
        <w:spacing w:before="40" w:after="80" w:line="276" w:lineRule="auto"/>
      </w:pPr>
      <w:r>
        <w:rPr>
          <w:rFonts w:ascii="Calibri" w:hAnsi="Calibri"/>
          <w:color w:val="1E293B"/>
          <w:sz w:val="20"/>
        </w:rPr>
        <w:t>48 sexies. The nominal casualty census includes certified entries for the following representative victims:</w:t>
      </w:r>
    </w:p>
    <w:p>
      <w:pPr>
        <w:pStyle w:val="ListBullet"/>
        <w:spacing w:before="20" w:after="40"/>
        <w:ind w:left="576"/>
      </w:pPr>
      <w:r>
        <w:rPr>
          <w:rFonts w:ascii="Calibri" w:hAnsi="Calibri"/>
          <w:b/>
          <w:color w:val="1E293B"/>
          <w:sz w:val="19"/>
        </w:rPr>
        <w:t>Pupils Killed:</w:t>
      </w:r>
      <w:r>
        <w:rPr>
          <w:rFonts w:ascii="Calibri" w:hAnsi="Calibri"/>
          <w:color w:val="1E293B"/>
          <w:sz w:val="19"/>
        </w:rPr>
        <w:t xml:space="preserve"> </w:t>
      </w:r>
      <w:r>
        <w:rPr>
          <w:rFonts w:ascii="Calibri" w:hAnsi="Calibri"/>
          <w:i/>
          <w:color w:val="1E293B"/>
          <w:sz w:val="19"/>
        </w:rPr>
        <w:t>Fatemeh Derazsetar</w:t>
      </w:r>
      <w:r>
        <w:rPr>
          <w:rFonts w:ascii="Calibri" w:hAnsi="Calibri"/>
          <w:color w:val="1E293B"/>
          <w:sz w:val="19"/>
        </w:rPr>
        <w:t xml:space="preserve"> (aged 8, Grade 2, Cert. PG-MNB-2026-0811; traumatic crush asphyxiation); </w:t>
      </w:r>
      <w:r>
        <w:rPr>
          <w:rFonts w:ascii="Calibri" w:hAnsi="Calibri"/>
          <w:i/>
          <w:color w:val="1E293B"/>
          <w:sz w:val="19"/>
        </w:rPr>
        <w:t>Masoumeh Nazari</w:t>
      </w:r>
      <w:r>
        <w:rPr>
          <w:rFonts w:ascii="Calibri" w:hAnsi="Calibri"/>
          <w:color w:val="1E293B"/>
          <w:sz w:val="19"/>
        </w:rPr>
        <w:t xml:space="preserve"> (aged 9, Grade 3, Cert. PG-MNB-2026-0812; severe cranial fragmentation); </w:t>
      </w:r>
      <w:r>
        <w:rPr>
          <w:rFonts w:ascii="Calibri" w:hAnsi="Calibri"/>
          <w:i/>
          <w:color w:val="1E293B"/>
          <w:sz w:val="19"/>
        </w:rPr>
        <w:t>Zeinab Bahrami</w:t>
      </w:r>
      <w:r>
        <w:rPr>
          <w:rFonts w:ascii="Calibri" w:hAnsi="Calibri"/>
          <w:color w:val="1E293B"/>
          <w:sz w:val="19"/>
        </w:rPr>
        <w:t xml:space="preserve"> (aged 7, Grade 1, Cert. PG-MNB-2026-0813; structural crushing trauma); </w:t>
      </w:r>
      <w:r>
        <w:rPr>
          <w:rFonts w:ascii="Calibri" w:hAnsi="Calibri"/>
          <w:i/>
          <w:color w:val="1E293B"/>
          <w:sz w:val="19"/>
        </w:rPr>
        <w:t>Baran Ghasemy</w:t>
      </w:r>
      <w:r>
        <w:rPr>
          <w:rFonts w:ascii="Calibri" w:hAnsi="Calibri"/>
          <w:color w:val="1E293B"/>
          <w:sz w:val="19"/>
        </w:rPr>
        <w:t xml:space="preserve"> (aged 10, Grade 4, Cert. PG-MNB-2026-0814; primary blast lung rupture); </w:t>
      </w:r>
      <w:r>
        <w:rPr>
          <w:rFonts w:ascii="Calibri" w:hAnsi="Calibri"/>
          <w:i/>
          <w:color w:val="1E293B"/>
          <w:sz w:val="19"/>
        </w:rPr>
        <w:t>Setayesh Saleh</w:t>
      </w:r>
      <w:r>
        <w:rPr>
          <w:rFonts w:ascii="Calibri" w:hAnsi="Calibri"/>
          <w:color w:val="1E293B"/>
          <w:sz w:val="19"/>
        </w:rPr>
        <w:t xml:space="preserve"> (aged 11, Grade 5, Cert. PG-MNB-2026-0815; penetrating shrapnel); </w:t>
      </w:r>
      <w:r>
        <w:rPr>
          <w:rFonts w:ascii="Calibri" w:hAnsi="Calibri"/>
          <w:i/>
          <w:color w:val="1E293B"/>
          <w:sz w:val="19"/>
        </w:rPr>
        <w:t>Zahra Ansarifard</w:t>
      </w:r>
      <w:r>
        <w:rPr>
          <w:rFonts w:ascii="Calibri" w:hAnsi="Calibri"/>
          <w:color w:val="1E293B"/>
          <w:sz w:val="19"/>
        </w:rPr>
        <w:t xml:space="preserve"> (aged 12, Grade 6, Cert. PG-MNB-2026-0817; thermal burns and polytrauma);</w:t>
      </w:r>
    </w:p>
    <w:p>
      <w:pPr>
        <w:pStyle w:val="ListBullet"/>
        <w:spacing w:before="20" w:after="40"/>
        <w:ind w:left="576"/>
      </w:pPr>
      <w:r>
        <w:rPr>
          <w:rFonts w:ascii="Calibri" w:hAnsi="Calibri"/>
          <w:b/>
          <w:color w:val="1E293B"/>
          <w:sz w:val="19"/>
        </w:rPr>
        <w:t>Faculty Killed:</w:t>
      </w:r>
      <w:r>
        <w:rPr>
          <w:rFonts w:ascii="Calibri" w:hAnsi="Calibri"/>
          <w:color w:val="1E293B"/>
          <w:sz w:val="19"/>
        </w:rPr>
        <w:t xml:space="preserve"> </w:t>
      </w:r>
      <w:r>
        <w:rPr>
          <w:rFonts w:ascii="Calibri" w:hAnsi="Calibri"/>
          <w:i/>
          <w:color w:val="1E293B"/>
          <w:sz w:val="19"/>
        </w:rPr>
        <w:t>Maryam Dehghani</w:t>
      </w:r>
      <w:r>
        <w:rPr>
          <w:rFonts w:ascii="Calibri" w:hAnsi="Calibri"/>
          <w:color w:val="1E293B"/>
          <w:sz w:val="19"/>
        </w:rPr>
        <w:t xml:space="preserve"> (School Principal, Cert. PG-MNB-2026-0785; blast overpressure and shrapnel trauma); </w:t>
      </w:r>
      <w:r>
        <w:rPr>
          <w:rFonts w:ascii="Calibri" w:hAnsi="Calibri"/>
          <w:i/>
          <w:color w:val="1E293B"/>
          <w:sz w:val="19"/>
        </w:rPr>
        <w:t>Tahereh Soleimani</w:t>
      </w:r>
      <w:r>
        <w:rPr>
          <w:rFonts w:ascii="Calibri" w:hAnsi="Calibri"/>
          <w:color w:val="1E293B"/>
          <w:sz w:val="19"/>
        </w:rPr>
        <w:t xml:space="preserve"> (Vice Principal, Cert. PG-MNB-2026-0786; structural collapse trauma); </w:t>
      </w:r>
      <w:r>
        <w:rPr>
          <w:rFonts w:ascii="Calibri" w:hAnsi="Calibri"/>
          <w:i/>
          <w:color w:val="1E293B"/>
          <w:sz w:val="19"/>
        </w:rPr>
        <w:t>Roghayyeh Heydari</w:t>
      </w:r>
      <w:r>
        <w:rPr>
          <w:rFonts w:ascii="Calibri" w:hAnsi="Calibri"/>
          <w:color w:val="1E293B"/>
          <w:sz w:val="19"/>
        </w:rPr>
        <w:t xml:space="preserve"> (Grade 1 Teacher, Cert. PG-MNB-2026-0787; thoracic penetration trauma); </w:t>
      </w:r>
      <w:r>
        <w:rPr>
          <w:rFonts w:ascii="Calibri" w:hAnsi="Calibri"/>
          <w:i/>
          <w:color w:val="1E293B"/>
          <w:sz w:val="19"/>
        </w:rPr>
        <w:t>Fatemeh Abbasi</w:t>
      </w:r>
      <w:r>
        <w:rPr>
          <w:rFonts w:ascii="Calibri" w:hAnsi="Calibri"/>
          <w:color w:val="1E293B"/>
          <w:sz w:val="19"/>
        </w:rPr>
        <w:t xml:space="preserve"> (Grade 2 Teacher, Cert. PG-MNB-2026-0788; crushing trauma); </w:t>
      </w:r>
      <w:r>
        <w:rPr>
          <w:rFonts w:ascii="Calibri" w:hAnsi="Calibri"/>
          <w:i/>
          <w:color w:val="1E293B"/>
          <w:sz w:val="19"/>
        </w:rPr>
        <w:t>Somayyeh Karimi</w:t>
      </w:r>
      <w:r>
        <w:rPr>
          <w:rFonts w:ascii="Calibri" w:hAnsi="Calibri"/>
          <w:color w:val="1E293B"/>
          <w:sz w:val="19"/>
        </w:rPr>
        <w:t xml:space="preserve"> (Grade 3 Teacher, Cert. PG-MNB-2026-0789; blast polytrauma); </w:t>
      </w:r>
      <w:r>
        <w:rPr>
          <w:rFonts w:ascii="Calibri" w:hAnsi="Calibri"/>
          <w:i/>
          <w:color w:val="1E293B"/>
          <w:sz w:val="19"/>
        </w:rPr>
        <w:t>Parvaneh Rostami</w:t>
      </w:r>
      <w:r>
        <w:rPr>
          <w:rFonts w:ascii="Calibri" w:hAnsi="Calibri"/>
          <w:color w:val="1E293B"/>
          <w:sz w:val="19"/>
        </w:rPr>
        <w:t xml:space="preserve"> (Pediatric Guidance Counselor, Cert. PG-MNB-2026-0790; high-velocity fragmentation wounds).</w:t>
      </w:r>
    </w:p>
    <w:p>
      <w:pPr>
        <w:spacing w:before="200" w:after="60"/>
      </w:pPr>
      <w:r>
        <w:rPr>
          <w:rFonts w:ascii="Calibri" w:hAnsi="Calibri"/>
          <w:b/>
          <w:color w:val="334155"/>
          <w:sz w:val="22"/>
        </w:rPr>
        <w:t>4.7 Eyewitness, Survivor &amp; First-Responder Testimonial Evidence</w:t>
      </w:r>
    </w:p>
    <w:p>
      <w:pPr>
        <w:spacing w:before="40" w:after="80" w:line="276" w:lineRule="auto"/>
      </w:pPr>
      <w:r>
        <w:rPr>
          <w:rFonts w:ascii="Calibri" w:hAnsi="Calibri"/>
          <w:color w:val="1E293B"/>
          <w:sz w:val="20"/>
        </w:rPr>
        <w:t>48 septies. Sworn testimonial depositions provided by surviving educational staff, first responders, and medical personnel (EXH-WIT-007) provide direct evidence regarding the circumstances of the strike:</w:t>
      </w:r>
    </w:p>
    <w:p>
      <w:pPr>
        <w:pStyle w:val="ListBullet"/>
        <w:spacing w:before="20" w:after="40"/>
        <w:ind w:left="576"/>
      </w:pPr>
      <w:r>
        <w:rPr>
          <w:rFonts w:ascii="Calibri" w:hAnsi="Calibri"/>
          <w:b/>
          <w:color w:val="1E293B"/>
          <w:sz w:val="19"/>
        </w:rPr>
        <w:t>Testimony of Surviving Instructor (Witness WIT-001):</w:t>
      </w:r>
    </w:p>
    <w:p>
      <w:pPr>
        <w:spacing w:before="80" w:after="120"/>
        <w:ind w:left="432"/>
      </w:pPr>
      <w:r>
        <w:rPr>
          <w:rFonts w:ascii="Calibri" w:hAnsi="Calibri"/>
          <w:i/>
          <w:color w:val="334155"/>
          <w:sz w:val="19"/>
        </w:rPr>
        <w:t>"We had just begun our second-period reading lesson. There was a sudden, deafening roar, and the entire ceiling dropped upon us in absolute blackness. The air became thick with concrete dust and pulverized drywall. I heard screaming from the hallway where children were buried under concrete slabs. We attempted to guide surviving pupils down the western escape stairs when a second explosion detonated directly upon the stairwell. The steps disintegrated underneath the children's feet."</w:t>
      </w:r>
    </w:p>
    <w:p>
      <w:pPr>
        <w:pStyle w:val="ListBullet"/>
        <w:spacing w:before="20" w:after="40"/>
        <w:ind w:left="576"/>
      </w:pPr>
      <w:r>
        <w:rPr>
          <w:rFonts w:ascii="Calibri" w:hAnsi="Calibri"/>
          <w:b/>
          <w:color w:val="1E293B"/>
          <w:sz w:val="19"/>
        </w:rPr>
        <w:t>Testimony of Iranian Red Crescent Volunteer (Witness WIT-002):</w:t>
      </w:r>
    </w:p>
    <w:p>
      <w:pPr>
        <w:spacing w:before="80" w:after="120"/>
        <w:ind w:left="432"/>
      </w:pPr>
      <w:r>
        <w:rPr>
          <w:rFonts w:ascii="Calibri" w:hAnsi="Calibri"/>
          <w:i/>
          <w:color w:val="334155"/>
          <w:sz w:val="19"/>
        </w:rPr>
        <w:t>"We arrived at the school within eight minutes of the first detonation. As municipal firefighters and neighbors were pulling children from the rubble of the western wing, a third missile struck the center of the playground. The blast threw our rescue team across the asphalt. The schoolyard was covered in shrapnel and textbook pages soaked in blood. We recovered dozens of children whose bodies had been disfigured beyond recognition by flying metal."</w:t>
      </w:r>
    </w:p>
    <w:p>
      <w:pPr>
        <w:spacing w:before="40" w:after="80" w:line="276" w:lineRule="auto"/>
      </w:pPr>
      <w:r>
        <w:rPr>
          <w:rFonts w:ascii="Calibri" w:hAnsi="Calibri"/>
          <w:color w:val="1E293B"/>
          <w:sz w:val="20"/>
        </w:rPr>
        <w:t xml:space="preserve">48 octies. Physical debris recovered from the impact crater and courtyard (EXH-MUN-002) corroborated this testimony. Metallurgical examination identified multi-layer avionics circuit boards bearing assembly designation </w:t>
      </w:r>
      <w:r>
        <w:rPr>
          <w:rFonts w:ascii="Consolas" w:hAnsi="Consolas"/>
          <w:color w:val="831843"/>
          <w:sz w:val="19"/>
        </w:rPr>
        <w:t>ASSY 16200-6523910-1 REV D</w:t>
      </w:r>
      <w:r>
        <w:rPr>
          <w:rFonts w:ascii="Calibri" w:hAnsi="Calibri"/>
          <w:color w:val="1E293B"/>
          <w:sz w:val="20"/>
        </w:rPr>
        <w:t xml:space="preserve"> and Commercial and Government Entity (CAGE) Code </w:t>
      </w:r>
      <w:r>
        <w:rPr>
          <w:rFonts w:ascii="Consolas" w:hAnsi="Consolas"/>
          <w:color w:val="831843"/>
          <w:sz w:val="19"/>
        </w:rPr>
        <w:t>96214</w:t>
      </w:r>
      <w:r>
        <w:rPr>
          <w:rFonts w:ascii="Calibri" w:hAnsi="Calibri"/>
          <w:color w:val="1E293B"/>
          <w:sz w:val="20"/>
        </w:rPr>
        <w:t xml:space="preserve">, confirming manufacture by </w:t>
      </w:r>
      <w:r>
        <w:rPr>
          <w:rFonts w:ascii="Calibri" w:hAnsi="Calibri"/>
          <w:b/>
          <w:color w:val="1E293B"/>
          <w:sz w:val="20"/>
        </w:rPr>
        <w:t>Raytheon Missile Systems</w:t>
      </w:r>
      <w:r>
        <w:rPr>
          <w:rFonts w:ascii="Calibri" w:hAnsi="Calibri"/>
          <w:color w:val="1E293B"/>
          <w:sz w:val="20"/>
        </w:rPr>
        <w:t xml:space="preserve"> for the </w:t>
      </w:r>
      <w:r>
        <w:rPr>
          <w:rFonts w:ascii="Calibri" w:hAnsi="Calibri"/>
          <w:b/>
          <w:color w:val="1E293B"/>
          <w:sz w:val="20"/>
        </w:rPr>
        <w:t>BGM-109 Block IV/V Tomahawk cruise missile</w:t>
      </w:r>
      <w:r>
        <w:rPr>
          <w:rFonts w:ascii="Calibri" w:hAnsi="Calibri"/>
          <w:color w:val="1E293B"/>
          <w:sz w:val="20"/>
        </w:rPr>
        <w:t xml:space="preserve">, powered by a </w:t>
      </w:r>
      <w:r>
        <w:rPr>
          <w:rFonts w:ascii="Calibri" w:hAnsi="Calibri"/>
          <w:b/>
          <w:color w:val="1E293B"/>
          <w:sz w:val="20"/>
        </w:rPr>
        <w:t>Williams International F107-WR-402 turbofan engine</w:t>
      </w:r>
      <w:r>
        <w:rPr>
          <w:rFonts w:ascii="Calibri" w:hAnsi="Calibri"/>
          <w:color w:val="1E293B"/>
          <w:sz w:val="20"/>
        </w:rPr>
        <w:t xml:space="preserve"> and carrying a </w:t>
      </w:r>
      <w:r>
        <w:rPr>
          <w:rFonts w:ascii="Calibri" w:hAnsi="Calibri"/>
          <w:b/>
          <w:color w:val="1E293B"/>
          <w:sz w:val="20"/>
        </w:rPr>
        <w:t>1,000-pound WDU-36/B unitary blast-fragmentation warhead</w:t>
      </w:r>
      <w:r>
        <w:rPr>
          <w:rFonts w:ascii="Calibri" w:hAnsi="Calibri"/>
          <w:color w:val="1E293B"/>
          <w:sz w:val="20"/>
        </w:rPr>
        <w:t xml:space="preserve"> filled with PBXN-107 explosive. Naval tracking records (EXH-LAUNCH-003) confirmed that launch assets of the </w:t>
      </w:r>
      <w:r>
        <w:rPr>
          <w:rFonts w:ascii="Calibri" w:hAnsi="Calibri"/>
          <w:b/>
          <w:color w:val="1E293B"/>
          <w:sz w:val="20"/>
        </w:rPr>
        <w:t>USS Abraham Lincoln Carrier Strike Group (CSG-3)</w:t>
      </w:r>
      <w:r>
        <w:rPr>
          <w:rFonts w:ascii="Calibri" w:hAnsi="Calibri"/>
          <w:color w:val="1E293B"/>
          <w:sz w:val="20"/>
        </w:rPr>
        <w:t xml:space="preserve"> held exclusive force allocation over the Hormozgan operational sector.</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w:t>
      </w:r>
      <w:r>
        <w:rPr>
          <w:rFonts w:ascii="Calibri" w:hAnsi="Calibri"/>
          <w:color w:val="2563EB"/>
          <w:sz w:val="19"/>
          <w:u w:val="single"/>
        </w:rPr>
        <w:t>EXH-MUN-002</w:t>
      </w:r>
      <w:r>
        <w:rPr>
          <w:rFonts w:ascii="Calibri" w:hAnsi="Calibri"/>
          <w:color w:val="1E293B"/>
          <w:sz w:val="19"/>
        </w:rPr>
        <w:t>)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w:t>
      </w:r>
      <w:r>
        <w:rPr>
          <w:rFonts w:ascii="Calibri" w:hAnsi="Calibri"/>
          <w:color w:val="2563EB"/>
          <w:sz w:val="19"/>
          <w:u w:val="single"/>
        </w:rPr>
        <w:t>EXH-LAUNCH-003</w:t>
      </w:r>
      <w:r>
        <w:rPr>
          <w:rFonts w:ascii="Calibri" w:hAnsi="Calibri"/>
          <w:color w:val="1E293B"/>
          <w:sz w:val="19"/>
        </w:rPr>
        <w:t>)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and expands upon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In the August 29, 2021 Kabul strike, US drone operators tracked civilian Zemari Ahmadi, interpreting water jugs as explosives due to confirmation bias. The Air Force IG found that analysts systematically filtered out contradictory civilian evidence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them—constitutes gross organizational negligence, willful blindness, and an intentional abdication of the non-delegable duty of positive target identification.</w:t>
      </w:r>
    </w:p>
    <w:p>
      <w:pPr>
        <w:spacing w:before="40" w:after="80" w:line="276" w:lineRule="auto"/>
      </w:pPr>
      <w:r>
        <w:rPr>
          <w:rFonts w:ascii="Calibri" w:hAnsi="Calibri"/>
          <w:color w:val="1E293B"/>
          <w:sz w:val="20"/>
        </w:rPr>
        <w:t xml:space="preserve">76 bis. The cognitive pathology observed in the Maven-Claude kill chain represents the direct, automated evolution of the epistemic detachment condemned in </w:t>
      </w:r>
      <w:r>
        <w:rPr>
          <w:rFonts w:ascii="Calibri" w:hAnsi="Calibri"/>
          <w:b/>
          <w:color w:val="1E293B"/>
          <w:sz w:val="20"/>
        </w:rPr>
        <w:t>Case 08: *Al-Amiriyah Bomb Shelter Massacre</w:t>
      </w:r>
      <w:r>
        <w:rPr>
          <w:rFonts w:ascii="Calibri" w:hAnsi="Calibri"/>
          <w:i/>
          <w:color w:val="1E293B"/>
          <w:sz w:val="20"/>
        </w:rPr>
        <w:t>. In 1991, Checkmate target planners in Riyadh succumbed to confirmation bias by elevating ambiguous electronic signals intercepts (SIGINT) and historical roof paint over ground reality, ignoring the hundreds of women and children entering the shelter nightly. In Minab, this human confirmation bias was mechanized and accelerated by Palantir’s Maven Smart System. By algorithmically processing outdated DIA data without cross-referencing open-source cartography (OpenStreetMap), commercial sub-meter satellite feeds, or municipal school registries, the targeting chain substituted synthetic, algorithmic confidence for positive target identification, establishing culpable recklessness and conditional intent (</w:t>
      </w:r>
      <w:r>
        <w:rPr>
          <w:rFonts w:ascii="Calibri" w:hAnsi="Calibri"/>
          <w:color w:val="1E293B"/>
          <w:sz w:val="20"/>
        </w:rPr>
        <w:t>dolus eventualis*).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In </w:t>
      </w:r>
      <w:r>
        <w:rPr>
          <w:rFonts w:ascii="Calibri" w:hAnsi="Calibri"/>
          <w:b/>
          <w:color w:val="1E293B"/>
          <w:sz w:val="19"/>
        </w:rPr>
        <w:t>Case 04: *Al-Jina Mosque Strike* (UN Commission of Inquiry on Syria, 2017, A/HRC/36/55)</w:t>
      </w:r>
      <w:r>
        <w:rPr>
          <w:rFonts w:ascii="Calibri" w:hAnsi="Calibri"/>
          <w:color w:val="1E293B"/>
          <w:sz w:val="19"/>
        </w:rPr>
        <w:t xml:space="preserve">, the UN established that target verification is a </w:t>
      </w:r>
      <w:r>
        <w:rPr>
          <w:rFonts w:ascii="Calibri" w:hAnsi="Calibri"/>
          <w:b/>
          <w:color w:val="1E293B"/>
          <w:sz w:val="19"/>
        </w:rPr>
        <w:t>continuous, temporal obligation</w:t>
      </w:r>
      <w:r>
        <w:rPr>
          <w:rFonts w:ascii="Calibri" w:hAnsi="Calibri"/>
          <w:color w:val="1E293B"/>
          <w:sz w:val="19"/>
        </w:rPr>
        <w:t>. Proximity to an adversary military base magnifies, rather than diminishes, the affirmative duty to verify adjacent civilian facilities.</w:t>
      </w:r>
    </w:p>
    <w:p>
      <w:pPr>
        <w:spacing w:before="40" w:after="60"/>
        <w:ind w:left="432"/>
      </w:pPr>
      <w:r>
        <w:rPr>
          <w:b/>
          <w:sz w:val="19"/>
        </w:rPr>
        <w:t xml:space="preserve">81. </w:t>
      </w:r>
      <w:r>
        <w:rPr>
          <w:rFonts w:ascii="Calibri" w:hAnsi="Calibri"/>
          <w:color w:val="1E293B"/>
          <w:sz w:val="19"/>
        </w:rPr>
        <w:t xml:space="preserve">CENTCOM’s failure to verify the status of the school over a ten-year peacetime window constitutes a </w:t>
      </w:r>
      <w:r>
        <w:rPr>
          <w:rFonts w:ascii="Calibri" w:hAnsi="Calibri"/>
          <w:i/>
          <w:color w:val="1E293B"/>
          <w:sz w:val="19"/>
        </w:rPr>
        <w:t>per se</w:t>
      </w:r>
      <w:r>
        <w:rPr>
          <w:rFonts w:ascii="Calibri" w:hAnsi="Calibri"/>
          <w:color w:val="1E293B"/>
          <w:sz w:val="19"/>
        </w:rPr>
        <w:t xml:space="preserve"> violation of the duty of feasible precautions.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40" w:after="80" w:line="276" w:lineRule="auto"/>
      </w:pPr>
      <w:r>
        <w:rPr>
          <w:rFonts w:ascii="Calibri" w:hAnsi="Calibri"/>
          <w:color w:val="1E293B"/>
          <w:sz w:val="20"/>
        </w:rPr>
        <w:t xml:space="preserve">81 quater. This failure directly violates the temporal "pattern-of-life" standard articulated in </w:t>
      </w:r>
      <w:r>
        <w:rPr>
          <w:rFonts w:ascii="Calibri" w:hAnsi="Calibri"/>
          <w:b/>
          <w:color w:val="1E293B"/>
          <w:sz w:val="20"/>
        </w:rPr>
        <w:t>Case 08: *Al-Amiriyah Bomb Shelter Massacre</w:t>
      </w:r>
      <w:r>
        <w:rPr>
          <w:rFonts w:ascii="Calibri" w:hAnsi="Calibri"/>
          <w:i/>
          <w:color w:val="1E293B"/>
          <w:sz w:val="20"/>
        </w:rPr>
        <w:t xml:space="preserve">. In its legal findings, Human Rights Watch emphasized that target verification is a continuous obligation: had U.S. planners conducted standard aerial or human surveillance during dusk or evening hours, they would have observed the unmistakable daily influx of neighborhood families seeking refuge. In Minab, the strike was launched at </w:t>
      </w:r>
      <w:r>
        <w:rPr>
          <w:rFonts w:ascii="Calibri" w:hAnsi="Calibri"/>
          <w:i/>
          <w:color w:val="1E293B"/>
          <w:sz w:val="20"/>
        </w:rPr>
        <w:t>09:22 IRST on a Saturday morning</w:t>
      </w:r>
      <w:r>
        <w:rPr>
          <w:rFonts w:ascii="Calibri" w:hAnsi="Calibri"/>
          <w:i/>
          <w:color w:val="1E293B"/>
          <w:sz w:val="20"/>
        </w:rPr>
        <w:t xml:space="preserve">—the opening instructional session of the Iranian academic week. Executing a kinetic strike during peak operational school hours without conducting immediate pre-launch surveillance to verify occupancy—especially after dismantling the CHMR team from 10 analysts down to one—constitutes a </w:t>
      </w:r>
      <w:r>
        <w:rPr>
          <w:rFonts w:ascii="Calibri" w:hAnsi="Calibri"/>
          <w:color w:val="1E293B"/>
          <w:sz w:val="20"/>
        </w:rPr>
        <w:t>per se* structural abandonment of the affirmative duty of feasible precautions codified in AP I Article 57(2)(a)(i).</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In </w:t>
      </w:r>
      <w:r>
        <w:rPr>
          <w:rFonts w:ascii="Calibri" w:hAnsi="Calibri"/>
          <w:b/>
          <w:color w:val="1E293B"/>
          <w:sz w:val="20"/>
        </w:rPr>
        <w:t>Case 15: *Dahyan School Bus Strike* (UN GEE, 2018)</w:t>
      </w:r>
      <w:r>
        <w:rPr>
          <w:rFonts w:ascii="Calibri" w:hAnsi="Calibri"/>
          <w:color w:val="1E293B"/>
          <w:sz w:val="20"/>
        </w:rPr>
        <w:t xml:space="preserve">, the UN Group of Eminent Experts similarly established that employing precision-guided blast munitions (500-lb GBU-12) in the immediate presence of school children constitutes an indiscriminate and grossly disproportionate attack. Detonating three US Navy Tomahawk cruise missiles armed with </w:t>
      </w:r>
      <w:r>
        <w:rPr>
          <w:rFonts w:ascii="Calibri" w:hAnsi="Calibri"/>
          <w:b/>
          <w:color w:val="1E293B"/>
          <w:sz w:val="20"/>
        </w:rPr>
        <w:t>1,000-lb WDU-36/B unitary blast-fragmentation warheads</w:t>
      </w:r>
      <w:r>
        <w:rPr>
          <w:rFonts w:ascii="Calibri" w:hAnsi="Calibri"/>
          <w:color w:val="1E293B"/>
          <w:sz w:val="20"/>
        </w:rPr>
        <w:t xml:space="preserve"> (each dispersing 195 kg of high-explosive overpressure and thousands of steel fragments over an effective casualty radius exceeding 300 metres) exactly </w:t>
      </w:r>
      <w:r>
        <w:rPr>
          <w:rFonts w:ascii="Calibri" w:hAnsi="Calibri"/>
          <w:b/>
          <w:color w:val="1E293B"/>
          <w:sz w:val="20"/>
        </w:rPr>
        <w:t>42 metres</w:t>
      </w:r>
      <w:r>
        <w:rPr>
          <w:rFonts w:ascii="Calibri" w:hAnsi="Calibri"/>
          <w:color w:val="1E293B"/>
          <w:sz w:val="20"/>
        </w:rPr>
        <w:t xml:space="preserve"> from an active girls' elementary school made the mass death and dismemberment of 156 civilians mathematically guaranteed. Under the unified </w:t>
      </w:r>
      <w:r>
        <w:rPr>
          <w:rFonts w:ascii="Calibri" w:hAnsi="Calibri"/>
          <w:i/>
          <w:color w:val="1E293B"/>
          <w:sz w:val="20"/>
        </w:rPr>
        <w:t>Isayeva</w:t>
      </w:r>
      <w:r>
        <w:rPr>
          <w:rFonts w:ascii="Calibri" w:hAnsi="Calibri"/>
          <w:color w:val="1E293B"/>
          <w:sz w:val="20"/>
        </w:rPr>
        <w:t xml:space="preserve"> proportionality standard, no anticipated military advantage from destroying an auxiliary storage shed could ever legally justify unleashing a 3,000-pound high-explosive blast envelope across a schoolroom full of children.</w:t>
      </w:r>
    </w:p>
    <w:p>
      <w:pPr>
        <w:spacing w:before="40" w:after="80" w:line="276" w:lineRule="auto"/>
      </w:pPr>
      <w:r>
        <w:rPr>
          <w:rFonts w:ascii="Calibri" w:hAnsi="Calibri"/>
          <w:color w:val="1E293B"/>
          <w:sz w:val="20"/>
        </w:rPr>
        <w:t xml:space="preserve">83 ter. The catastrophic casualty ratio in Minab mirrors the confined blast dynamics documented in </w:t>
      </w:r>
      <w:r>
        <w:rPr>
          <w:rFonts w:ascii="Calibri" w:hAnsi="Calibri"/>
          <w:b/>
          <w:color w:val="1E293B"/>
          <w:sz w:val="20"/>
        </w:rPr>
        <w:t>Case 08: *Al-Amiriyah</w:t>
      </w:r>
      <w:r>
        <w:rPr>
          <w:rFonts w:ascii="Calibri" w:hAnsi="Calibri"/>
          <w:i/>
          <w:color w:val="1E293B"/>
          <w:sz w:val="20"/>
        </w:rPr>
        <w:t>. In Baghdad, the sequential penetration of two 2,000-lb GBU-27 penetrating bunker busters sealed emergency blast doors and incinerated 408 civilians trapped within the lower bunker. In Minab, the programmed triple-tap salvo of three 1,000-lb BGM-109 Tomahawk cruise missiles achieved an identical trapped-space slaughter: Impact 1 collapsed the roof onto active classrooms, Impact 2 destroyed the primary exterior evacuation stairwell, and Impact 3 pulverized the courtyard evacuation muster ground. Detonating 3,000 lbs of high-explosive ordnance with a 300-meter fragmentation envelope within an enclosed primary school populated by 168 children and staff made mass death mathematically certain, violating the Principle of Proportionality (</w:t>
      </w:r>
      <w:r>
        <w:rPr>
          <w:rFonts w:ascii="Calibri" w:hAnsi="Calibri"/>
          <w:color w:val="1E293B"/>
          <w:sz w:val="20"/>
        </w:rPr>
        <w:t>per se*) under AP I Article 51(5)(b).</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200" w:after="60"/>
      </w:pPr>
      <w:r>
        <w:rPr>
          <w:rFonts w:ascii="Calibri" w:hAnsi="Calibri"/>
          <w:b/>
          <w:color w:val="334155"/>
          <w:sz w:val="22"/>
        </w:rPr>
        <w:t>7.5 Breach of the Mandatory Advance Warning Requirement (AP I Art. 57(2)(c) &amp; Art. 65(2); *Al-Amiriyah*)</w:t>
      </w:r>
    </w:p>
    <w:p>
      <w:pPr>
        <w:spacing w:before="40" w:after="80" w:line="276" w:lineRule="auto"/>
      </w:pPr>
      <w:r>
        <w:rPr>
          <w:rFonts w:ascii="Calibri" w:hAnsi="Calibri"/>
          <w:color w:val="1E293B"/>
          <w:sz w:val="20"/>
        </w:rPr>
        <w:t xml:space="preserve">85 bis. In </w:t>
      </w:r>
      <w:r>
        <w:rPr>
          <w:rFonts w:ascii="Calibri" w:hAnsi="Calibri"/>
          <w:b/>
          <w:color w:val="1E293B"/>
          <w:sz w:val="20"/>
        </w:rPr>
        <w:t>Case 08: *Al-Amiriyah Bomb Shelter Massacre</w:t>
      </w:r>
      <w:r>
        <w:rPr>
          <w:rFonts w:ascii="Calibri" w:hAnsi="Calibri"/>
          <w:i/>
          <w:color w:val="1E293B"/>
          <w:sz w:val="20"/>
        </w:rPr>
        <w:t xml:space="preserve">, Human Rights Watch established that kinetic attacks on facilities dedicated to civilian shelter or refuge require specific, effective advance warning with a reasonable evacuation time limit; operational surprise cannot override the non-derogable protection of human life. The Minab strike was launched with zero warning, sirens, or evacuation notices. Deploying stand-off cruise missiles against an active school in session without warning violates </w:t>
      </w:r>
      <w:r>
        <w:rPr>
          <w:rFonts w:ascii="Calibri" w:hAnsi="Calibri"/>
          <w:i/>
          <w:color w:val="1E293B"/>
          <w:sz w:val="20"/>
        </w:rPr>
        <w:t>AP I Article 57(2)(c)</w:t>
      </w:r>
      <w:r>
        <w:rPr>
          <w:rFonts w:ascii="Calibri" w:hAnsi="Calibri"/>
          <w:i/>
          <w:color w:val="1E293B"/>
          <w:sz w:val="20"/>
        </w:rPr>
        <w:t xml:space="preserve">, </w:t>
      </w:r>
      <w:r>
        <w:rPr>
          <w:rFonts w:ascii="Calibri" w:hAnsi="Calibri"/>
          <w:i/>
          <w:color w:val="1E293B"/>
          <w:sz w:val="20"/>
        </w:rPr>
        <w:t>Customary IHL Rule 20</w:t>
      </w:r>
      <w:r>
        <w:rPr>
          <w:rFonts w:ascii="Calibri" w:hAnsi="Calibri"/>
          <w:i/>
          <w:color w:val="1E293B"/>
          <w:sz w:val="20"/>
        </w:rPr>
        <w:t xml:space="preserve">, and </w:t>
      </w:r>
      <w:r>
        <w:rPr>
          <w:rFonts w:ascii="Calibri" w:hAnsi="Calibri"/>
          <w:i/>
          <w:color w:val="1E293B"/>
          <w:sz w:val="20"/>
        </w:rPr>
        <w:t>UN Security Council Resolution 2601 (2021)</w:t>
      </w:r>
      <w:r>
        <w:rPr>
          <w:rFonts w:ascii="Calibri" w:hAnsi="Calibri"/>
          <w:i/>
          <w:color w:val="1E293B"/>
          <w:sz w:val="20"/>
        </w:rPr>
        <w:t xml:space="preserve">, converting an already unlawful attack into a definitive </w:t>
      </w:r>
      <w:r>
        <w:rPr>
          <w:rFonts w:ascii="Calibri" w:hAnsi="Calibri"/>
          <w:color w:val="1E293B"/>
          <w:sz w:val="20"/>
        </w:rPr>
        <w:t>prima facie* war crime.</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40" w:after="80" w:line="276" w:lineRule="auto"/>
      </w:pPr>
      <w:r>
        <w:rPr>
          <w:rFonts w:ascii="Calibri" w:hAnsi="Calibri"/>
          <w:color w:val="1E293B"/>
          <w:sz w:val="20"/>
        </w:rPr>
        <w:t xml:space="preserve">88 ter. This allocation of responsibility finds precedent in </w:t>
      </w:r>
      <w:r>
        <w:rPr>
          <w:rFonts w:ascii="Calibri" w:hAnsi="Calibri"/>
          <w:b/>
          <w:color w:val="1E293B"/>
          <w:sz w:val="20"/>
        </w:rPr>
        <w:t>Case 08: *Al-Amiriyah</w:t>
      </w:r>
      <w:r>
        <w:rPr>
          <w:rFonts w:ascii="Calibri" w:hAnsi="Calibri"/>
          <w:i/>
          <w:color w:val="1E293B"/>
          <w:sz w:val="20"/>
        </w:rPr>
        <w:t xml:space="preserve">, where the tactical F-117A aircrews who dropped the laser-guided ordnance were completely exonerated from targeting culpability, as they merely executed assigned flight profiles against coordinates approved by the "Checkmate" target development cell and CENTCOM leadership. In Minab, the naval launch crews aboard the USS </w:t>
      </w:r>
      <w:r>
        <w:rPr>
          <w:rFonts w:ascii="Calibri" w:hAnsi="Calibri"/>
          <w:color w:val="1E293B"/>
          <w:sz w:val="20"/>
        </w:rPr>
        <w:t>Abraham Lincoln</w:t>
      </w:r>
      <w:r>
        <w:rPr>
          <w:rFonts w:ascii="Calibri" w:hAnsi="Calibri"/>
          <w:i/>
          <w:color w:val="1E293B"/>
          <w:sz w:val="20"/>
        </w:rPr>
        <w:t xml:space="preserve"> Carrier Strike Group similarly bore zero target nomination or validation authority. Under the unified </w:t>
      </w:r>
      <w:r>
        <w:rPr>
          <w:rFonts w:ascii="Calibri" w:hAnsi="Calibri"/>
          <w:color w:val="1E293B"/>
          <w:sz w:val="20"/>
        </w:rPr>
        <w:t>ICTY § 85 / Isayeva / Al-Amiriyah* doctrine, 100% of the criminal and institutional culpability concentrates upstream upon DIA nominators, CENTCOM Target Review Boards, Maven-Claude pipeline architects, and commanding flag officers who dismantled civilian harm oversight mechanisms.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automated AI kill-chain failure, and the institutional dismantling of civilian harm review mechanisms;</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in full concurrence with the United Nations Independent International Fact-Finding Mission on Iran (</w:t>
      </w:r>
      <w:r>
        <w:rPr>
          <w:rFonts w:ascii="Calibri" w:hAnsi="Calibri"/>
          <w:b/>
          <w:color w:val="1E293B"/>
          <w:sz w:val="19"/>
        </w:rPr>
        <w:t>UN Doc. A/HRC/63/61</w:t>
      </w:r>
      <w:r>
        <w:rPr>
          <w:rFonts w:ascii="Calibri" w:hAnsi="Calibri"/>
          <w:color w:val="1E293B"/>
          <w:sz w:val="19"/>
        </w:rPr>
        <w:t xml:space="preserve">), that the strike constituted an unlawful indiscriminate attack amounting to a </w:t>
      </w:r>
      <w:r>
        <w:rPr>
          <w:rFonts w:ascii="Calibri" w:hAnsi="Calibri"/>
          <w:b/>
          <w:color w:val="1E293B"/>
          <w:sz w:val="19"/>
        </w:rPr>
        <w:t>war crime</w:t>
      </w:r>
      <w:r>
        <w:rPr>
          <w:rFonts w:ascii="Calibri" w:hAnsi="Calibri"/>
          <w:color w:val="1E293B"/>
          <w:sz w:val="19"/>
        </w:rPr>
        <w:t xml:space="preserve"> in breach of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97.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 in which the United States accepted responsibility, apologized, and paid </w:t>
      </w:r>
      <w:r>
        <w:rPr>
          <w:rFonts w:ascii="Calibri" w:hAnsi="Calibri"/>
          <w:b/>
          <w:color w:val="1E293B"/>
          <w:sz w:val="19"/>
        </w:rPr>
        <w:t>\$32.5 million</w:t>
      </w:r>
      <w:r>
        <w:rPr>
          <w:rFonts w:ascii="Calibri" w:hAnsi="Calibri"/>
          <w:color w:val="1E293B"/>
          <w:sz w:val="19"/>
        </w:rPr>
        <w:t xml:space="preserve"> in direct state and victim restitution, 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nomination and prioritization platforms (including Palantir Maven Smart System and integrated LLM architectures) for strike coordinates within 500 meters of registered civilian, medical, and educational buildings, coupled with mandatory, un-compressable 72-hour human visual verification protocols and the full restoration of independent Civilian Harm Mitigation and Response oversight units;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 and full disclosure of the Maven-Claude targeting log for February 28, 2026.</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w:t>
      </w:r>
      <w:r>
        <w:rPr>
          <w:rFonts w:ascii="Calibri" w:hAnsi="Calibri"/>
          <w:color w:val="2563EB"/>
          <w:sz w:val="19"/>
          <w:u w:val="single"/>
        </w:rPr>
        <w:t>EXH-SAT-001</w:t>
      </w:r>
      <w:r>
        <w:rPr>
          <w:rFonts w:ascii="Calibri" w:hAnsi="Calibri"/>
          <w:color w:val="1E293B"/>
          <w:sz w:val="19"/>
        </w:rPr>
        <w:t xml:space="preserve"> through </w:t>
      </w:r>
      <w:r>
        <w:rPr>
          <w:rFonts w:ascii="Calibri" w:hAnsi="Calibri"/>
          <w:color w:val="2563EB"/>
          <w:sz w:val="19"/>
          <w:u w:val="single"/>
        </w:rPr>
        <w:t>EXH-UN-008</w:t>
      </w:r>
      <w:r>
        <w:rPr>
          <w:rFonts w:ascii="Calibri" w:hAnsi="Calibri"/>
          <w:color w:val="1E293B"/>
          <w:sz w:val="19"/>
        </w:rPr>
        <w:t>)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and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in connection with the 63rd Regular Session (UN Doc. A/HRC/63/61), and to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99.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