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2026-09-13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The Bombing of the Chinese Embassy in Belgrade</w:t>
      </w:r>
      <w:r>
        <w:rPr>
          <w:rFonts w:ascii="Calibri" w:hAnsi="Calibri"/>
          <w:i/>
          <w:color w:val="334155"/>
          <w:sz w:val="19"/>
        </w:rPr>
        <w:t xml:space="preserve">, Final Report to the Prosecutor, Paragraphs 80–85)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80" w:after="120"/>
        <w:ind w:left="432"/>
      </w:pPr>
      <w:r>
        <w:rPr>
          <w:rFonts w:ascii="Calibri" w:hAnsi="Calibri"/>
          <w:i/>
          <w:color w:val="334155"/>
          <w:sz w:val="19"/>
        </w:rPr>
        <w:t xml:space="preserve">🌐 </w:t>
      </w:r>
      <w:r>
        <w:rPr>
          <w:rFonts w:ascii="Calibri" w:hAnsi="Calibri"/>
          <w:b/>
          <w:i/>
          <w:color w:val="334155"/>
          <w:sz w:val="19"/>
        </w:rPr>
        <w:t>Interactive Online Reader:</w:t>
      </w:r>
      <w:r>
        <w:rPr>
          <w:rFonts w:ascii="Calibri" w:hAnsi="Calibri"/>
          <w:i/>
          <w:color w:val="334155"/>
          <w:sz w:val="19"/>
        </w:rPr>
        <w:t xml:space="preserve"> </w:t>
      </w:r>
      <w:r>
        <w:rPr>
          <w:rFonts w:ascii="Calibri" w:hAnsi="Calibri"/>
          <w:i/>
          <w:color w:val="2563EB"/>
          <w:sz w:val="19"/>
          <w:u w:val="single"/>
        </w:rPr>
        <w:t>https://peopleforpeace.live/draft.html</w:t>
      </w:r>
      <w:r>
        <w:rPr>
          <w:rFonts w:ascii="Calibri" w:hAnsi="Calibri"/>
          <w:i/>
          <w:color w:val="334155"/>
          <w:sz w:val="19"/>
        </w:rPr>
        <w:t xml:space="preserve"> 📄 </w:t>
      </w:r>
      <w:r>
        <w:rPr>
          <w:rFonts w:ascii="Calibri" w:hAnsi="Calibri"/>
          <w:b/>
          <w:i/>
          <w:color w:val="334155"/>
          <w:sz w:val="19"/>
        </w:rPr>
        <w:t>Standalone Court Reader:</w:t>
      </w:r>
      <w:r>
        <w:rPr>
          <w:rFonts w:ascii="Calibri" w:hAnsi="Calibri"/>
          <w:i/>
          <w:color w:val="334155"/>
          <w:sz w:val="19"/>
        </w:rPr>
        <w:t xml:space="preserve"> Open </w:t>
      </w:r>
      <w:r>
        <w:rPr>
          <w:rFonts w:ascii="Consolas" w:hAnsi="Consolas"/>
          <w:i/>
          <w:color w:val="831843"/>
          <w:sz w:val="18"/>
        </w:rPr>
        <w:t>PFP_Platform/web/public/draft.html</w:t>
      </w:r>
      <w:r>
        <w:rPr>
          <w:rFonts w:ascii="Calibri" w:hAnsi="Calibri"/>
          <w:i/>
          <w:color w:val="334155"/>
          <w:sz w:val="19"/>
        </w:rPr>
        <w:t xml:space="preserve"> in your browser 💻 </w:t>
      </w:r>
      <w:r>
        <w:rPr>
          <w:rFonts w:ascii="Calibri" w:hAnsi="Calibri"/>
          <w:b/>
          <w:i/>
          <w:color w:val="334155"/>
          <w:sz w:val="19"/>
        </w:rPr>
        <w:t>GitHub Master Docket:</w:t>
      </w:r>
      <w:r>
        <w:rPr>
          <w:rFonts w:ascii="Calibri" w:hAnsi="Calibri"/>
          <w:i/>
          <w:color w:val="334155"/>
          <w:sz w:val="19"/>
        </w:rPr>
        <w:t xml:space="preserve"> </w:t>
      </w:r>
      <w:r>
        <w:rPr>
          <w:rFonts w:ascii="Calibri" w:hAnsi="Calibri"/>
          <w:i/>
          <w:color w:val="2563EB"/>
          <w:sz w:val="19"/>
          <w:u w:val="single"/>
        </w:rPr>
        <w:t>FACTUAL_DETERMINATION_AND_COMPLAINT_MASTER.md</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Qualification as an International Armed Conflict (IAC under Common Article 2 GC)</w:t>
      </w:r>
    </w:p>
    <w:p>
      <w:pPr>
        <w:pStyle w:val="ListBullet"/>
        <w:spacing w:before="20" w:after="40"/>
        <w:ind w:left="576"/>
      </w:pPr>
      <w:r>
        <w:rPr>
          <w:rFonts w:ascii="Calibri" w:hAnsi="Calibri"/>
          <w:color w:val="2563EB"/>
          <w:sz w:val="19"/>
          <w:u w:val="single"/>
        </w:rPr>
        <w:t>3.3 The Nexus Requirement: Temporal, Geographic &amp; Operational Connection</w:t>
      </w:r>
    </w:p>
    <w:p>
      <w:pPr>
        <w:pStyle w:val="ListBullet"/>
        <w:spacing w:before="20" w:after="40"/>
        <w:ind w:left="576"/>
      </w:pPr>
      <w:r>
        <w:rPr>
          <w:rFonts w:ascii="Calibri" w:hAnsi="Calibri"/>
          <w:color w:val="2563EB"/>
          <w:sz w:val="19"/>
          <w:u w:val="single"/>
        </w:rPr>
        <w:t>3.4 Protected Status of Civilian Population and Educational Sanctuaries</w:t>
      </w:r>
    </w:p>
    <w:p>
      <w:pPr>
        <w:pStyle w:val="ListBullet"/>
        <w:spacing w:before="20" w:after="40"/>
        <w:ind w:left="576"/>
      </w:pPr>
      <w:r>
        <w:rPr>
          <w:rFonts w:ascii="Calibri" w:hAnsi="Calibri"/>
          <w:color w:val="2563EB"/>
          <w:sz w:val="19"/>
          <w:u w:val="single"/>
        </w:rPr>
        <w:t>3.5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&amp; Physical Environment of the School</w:t>
      </w:r>
    </w:p>
    <w:p>
      <w:pPr>
        <w:pStyle w:val="ListBullet"/>
        <w:spacing w:before="20" w:after="40"/>
        <w:ind w:left="576"/>
      </w:pPr>
      <w:r>
        <w:rPr>
          <w:rFonts w:ascii="Calibri" w:hAnsi="Calibri"/>
          <w:color w:val="2563EB"/>
          <w:sz w:val="19"/>
          <w:u w:val="single"/>
        </w:rPr>
        <w:t>4.2 Historical Status, Civilian Conversion &amp; The 2016 Concrete Partition Wall</w:t>
      </w:r>
    </w:p>
    <w:p>
      <w:pPr>
        <w:pStyle w:val="ListBullet"/>
        <w:spacing w:before="20" w:after="40"/>
        <w:ind w:left="576"/>
      </w:pPr>
      <w:r>
        <w:rPr>
          <w:rFonts w:ascii="Calibri" w:hAnsi="Calibri"/>
          <w:color w:val="2563EB"/>
          <w:sz w:val="19"/>
          <w:u w:val="single"/>
        </w:rPr>
        <w:t>4.3 Operational Chronology: The Morning Academic Session</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Casualty Census, Demographic Matrix &amp; Physical Devastation</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(*Kabul Drone*)</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*Katyr-Yurt*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v. Germany* [GC],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 xml:space="preserve">The primary objective of this report is </w:t>
      </w:r>
      <w:r>
        <w:rPr>
          <w:rFonts w:ascii="Calibri" w:hAnsi="Calibri"/>
          <w:b/>
          <w:color w:val="1E293B"/>
          <w:sz w:val="19"/>
        </w:rPr>
        <w:t>not</w:t>
      </w:r>
      <w:r>
        <w:rPr>
          <w:rFonts w:ascii="Calibri" w:hAnsi="Calibri"/>
          <w:color w:val="1E293B"/>
          <w:sz w:val="19"/>
        </w:rPr>
        <w:t xml:space="preserve"> the immediate lodging of an individual criminal trial indictment against tactical service-members. Rather, its immediate institutional purpose is:</w:t>
      </w:r>
    </w:p>
    <w:p>
      <w:pPr>
        <w:pStyle w:val="ListBullet"/>
        <w:spacing w:before="20" w:after="40"/>
        <w:ind w:left="576"/>
      </w:pPr>
      <w:r>
        <w:rPr>
          <w:rFonts w:ascii="Calibri" w:hAnsi="Calibri"/>
          <w:color w:val="1E293B"/>
          <w:sz w:val="19"/>
        </w:rPr>
        <w:t xml:space="preserve">(i) To establish an immutable, court-ready </w:t>
      </w:r>
      <w:r>
        <w:rPr>
          <w:rFonts w:ascii="Calibri" w:hAnsi="Calibri"/>
          <w:b/>
          <w:color w:val="1E293B"/>
          <w:sz w:val="19"/>
        </w:rPr>
        <w:t>factual determination</w:t>
      </w:r>
      <w:r>
        <w:rPr>
          <w:rFonts w:ascii="Calibri" w:hAnsi="Calibri"/>
          <w:color w:val="1E293B"/>
          <w:sz w:val="19"/>
        </w:rPr>
        <w:t xml:space="preserve"> of the February 28, 2026 airstrike on the Shajareh Tayyebeh Girls' Elementary School;</w:t>
      </w:r>
    </w:p>
    <w:p>
      <w:pPr>
        <w:pStyle w:val="ListBullet"/>
        <w:spacing w:before="20" w:after="40"/>
        <w:ind w:left="576"/>
      </w:pPr>
      <w:r>
        <w:rPr>
          <w:rFonts w:ascii="Calibri" w:hAnsi="Calibri"/>
          <w:color w:val="1E293B"/>
          <w:sz w:val="19"/>
        </w:rPr>
        <w:t>(ii) To apply the ICTY OTP targeting jurisprudence (</w:t>
      </w:r>
      <w:r>
        <w:rPr>
          <w:rFonts w:ascii="Calibri" w:hAnsi="Calibri"/>
          <w:i/>
          <w:color w:val="1E293B"/>
          <w:sz w:val="19"/>
        </w:rPr>
        <w:t>Belgrade Chinese Embassy Precedent</w:t>
      </w:r>
      <w:r>
        <w:rPr>
          <w:rFonts w:ascii="Calibri" w:hAnsi="Calibri"/>
          <w:color w:val="1E293B"/>
          <w:sz w:val="19"/>
        </w:rPr>
        <w:t>) to demonstrate that the strike was the product of systemic peacetime targeting negligence;</w:t>
      </w:r>
    </w:p>
    <w:p>
      <w:pPr>
        <w:pStyle w:val="ListBullet"/>
        <w:spacing w:before="20" w:after="40"/>
        <w:ind w:left="576"/>
      </w:pPr>
      <w:r>
        <w:rPr>
          <w:rFonts w:ascii="Calibri" w:hAnsi="Calibri"/>
          <w:color w:val="1E293B"/>
          <w:sz w:val="19"/>
        </w:rPr>
        <w:t xml:space="preserve">(iii) To articulate the comprehensive </w:t>
      </w:r>
      <w:r>
        <w:rPr>
          <w:rFonts w:ascii="Calibri" w:hAnsi="Calibri"/>
          <w:b/>
          <w:color w:val="1E293B"/>
          <w:sz w:val="19"/>
        </w:rPr>
        <w:t>State Responsibility</w:t>
      </w:r>
      <w:r>
        <w:rPr>
          <w:rFonts w:ascii="Calibri" w:hAnsi="Calibri"/>
          <w:color w:val="1E293B"/>
          <w:sz w:val="19"/>
        </w:rPr>
        <w:t xml:space="preserve"> of the United States under customary international law and the ILC ARSIWA framework; and</w:t>
      </w:r>
    </w:p>
    <w:p>
      <w:pPr>
        <w:pStyle w:val="ListBullet"/>
        <w:spacing w:before="20" w:after="40"/>
        <w:ind w:left="576"/>
      </w:pPr>
      <w:r>
        <w:rPr>
          <w:rFonts w:ascii="Calibri" w:hAnsi="Calibri"/>
          <w:color w:val="1E293B"/>
          <w:sz w:val="19"/>
        </w:rPr>
        <w:t>(iv) To deposit verified physical, biometric, and digital evidence into secure European custody, establishing a foundation for state-level reparations and contingent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the public disclosures, press briefings, and leaked preliminary investigation findings issued by the United States Department of Defense (DoD) and United States Central Command (CENTCOM), integrating official admissions into the evidentiary corpus.</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and a failure of positive target identification (PID) within the US peacetime target nomination pipeline. US authorities relied on unverified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w:t>
      </w:r>
      <w:r>
        <w:rPr>
          <w:rFonts w:ascii="Calibri" w:hAnsi="Calibri"/>
          <w:color w:val="1E293B"/>
          <w:sz w:val="19"/>
        </w:rPr>
        <w:t xml:space="preserve"> The strike constitutes a serious breach of the Principle of Distinction (AP I Art. 48, 52), a gross failure of Feasible Precautions in Attack (AP I Art. 57), and a violation of the special protections shielding children and educational sanctuaries.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United Nations Independent Commissions of Inquiry—this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and disclosures originating from the internal US Army Regulation 15-6 preliminary investigation as highly probative evidence regarding: (i) US military authorship of the launch, (ii) weapon system identification, and (iii) the operational reliance on outdated targeting coordinates.</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five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&amp; CENTCOM AR 15-6 Preliminary Investigation Disclosures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and leaked internal military findings conceding US responsibility.</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200" w:after="60"/>
      </w:pPr>
      <w:r>
        <w:rPr>
          <w:rFonts w:ascii="Calibri" w:hAnsi="Calibri"/>
          <w:b/>
          <w:color w:val="334155"/>
          <w:sz w:val="22"/>
        </w:rPr>
        <w:t>3.2 Qualification as an International Armed Conflict (IAC under Common Article 2 GC)</w:t>
      </w:r>
    </w:p>
    <w:p>
      <w:pPr>
        <w:spacing w:before="40" w:after="60"/>
        <w:ind w:left="432"/>
      </w:pPr>
      <w:r>
        <w:rPr>
          <w:b/>
          <w:sz w:val="19"/>
        </w:rPr>
        <w:t xml:space="preserve">20. </w:t>
      </w:r>
      <w:r>
        <w:rPr>
          <w:rFonts w:ascii="Calibri" w:hAnsi="Calibri"/>
          <w:color w:val="1E293B"/>
          <w:sz w:val="19"/>
        </w:rPr>
        <w:t xml:space="preserve">Applying the </w:t>
      </w:r>
      <w:r>
        <w:rPr>
          <w:rFonts w:ascii="Calibri" w:hAnsi="Calibri"/>
          <w:i/>
          <w:color w:val="1E293B"/>
          <w:sz w:val="19"/>
        </w:rPr>
        <w:t>Tadić</w:t>
      </w:r>
      <w:r>
        <w:rPr>
          <w:rFonts w:ascii="Calibri" w:hAnsi="Calibri"/>
          <w:color w:val="1E293B"/>
          <w:sz w:val="19"/>
        </w:rPr>
        <w:t xml:space="preserve"> threshold to the incident under review, the Panel examines whether the conflict qualifies as an </w:t>
      </w:r>
      <w:r>
        <w:rPr>
          <w:rFonts w:ascii="Calibri" w:hAnsi="Calibri"/>
          <w:b/>
          <w:color w:val="1E293B"/>
          <w:sz w:val="19"/>
        </w:rPr>
        <w:t>International Armed Conflict (IAC)</w:t>
      </w:r>
      <w:r>
        <w:rPr>
          <w:rFonts w:ascii="Calibri" w:hAnsi="Calibri"/>
          <w:color w:val="1E293B"/>
          <w:sz w:val="19"/>
        </w:rPr>
        <w:t>.</w:t>
      </w:r>
    </w:p>
    <w:p>
      <w:pPr>
        <w:spacing w:before="40" w:after="60"/>
        <w:ind w:left="432"/>
      </w:pPr>
      <w:r>
        <w:rPr>
          <w:b/>
          <w:sz w:val="19"/>
        </w:rPr>
        <w:t xml:space="preserve">21.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22.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23.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24.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200" w:after="60"/>
      </w:pPr>
      <w:r>
        <w:rPr>
          <w:rFonts w:ascii="Calibri" w:hAnsi="Calibri"/>
          <w:b/>
          <w:color w:val="334155"/>
          <w:sz w:val="22"/>
        </w:rPr>
        <w:t>3.3 The Nexus Requirement: Temporal, Geographic &amp; Operational Connection</w:t>
      </w:r>
    </w:p>
    <w:p>
      <w:pPr>
        <w:spacing w:before="40" w:after="60"/>
        <w:ind w:left="432"/>
      </w:pPr>
      <w:r>
        <w:rPr>
          <w:b/>
          <w:sz w:val="19"/>
        </w:rPr>
        <w:t xml:space="preserve">25.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26. </w:t>
      </w:r>
      <w:r>
        <w:rPr>
          <w:rFonts w:ascii="Calibri" w:hAnsi="Calibri"/>
          <w:color w:val="1E293B"/>
          <w:sz w:val="19"/>
        </w:rPr>
        <w:t>The requirement is satisfied if the alleged acts were closely related to the hostilities, or if the armed conflict played a substantial role in the perpetrator’s ability to execute the strike, the decision to target the coordinates, or the manner in which the attack was conducted.</w:t>
      </w:r>
    </w:p>
    <w:p>
      <w:pPr>
        <w:spacing w:before="40" w:after="60"/>
        <w:ind w:left="432"/>
      </w:pPr>
      <w:r>
        <w:rPr>
          <w:b/>
          <w:sz w:val="19"/>
        </w:rPr>
        <w:t xml:space="preserve">27.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w:t>
      </w:r>
    </w:p>
    <w:p>
      <w:pPr>
        <w:spacing w:before="200" w:after="60"/>
      </w:pPr>
      <w:r>
        <w:rPr>
          <w:rFonts w:ascii="Calibri" w:hAnsi="Calibri"/>
          <w:b/>
          <w:color w:val="334155"/>
          <w:sz w:val="22"/>
        </w:rPr>
        <w:t>3.4 Protected Status of Civilian Population and Educational Sanctuaries</w:t>
      </w:r>
    </w:p>
    <w:p>
      <w:pPr>
        <w:spacing w:before="40" w:after="60"/>
        <w:ind w:left="432"/>
      </w:pPr>
      <w:r>
        <w:rPr>
          <w:b/>
          <w:sz w:val="19"/>
        </w:rPr>
        <w:t xml:space="preserve">28.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29.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30.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schools enjoy heightened legal protection designed to insulate children and educational infrastructure from the effects of military kinetic violence.</w:t>
      </w:r>
    </w:p>
    <w:p>
      <w:pPr>
        <w:spacing w:before="200" w:after="60"/>
      </w:pPr>
      <w:r>
        <w:rPr>
          <w:rFonts w:ascii="Calibri" w:hAnsi="Calibri"/>
          <w:b/>
          <w:color w:val="334155"/>
          <w:sz w:val="22"/>
        </w:rPr>
        <w:t>3.5 The Absolute Presumption of Civilian Status in Case of Doubt (AP I Art. 52(3))</w:t>
      </w:r>
    </w:p>
    <w:p>
      <w:pPr>
        <w:spacing w:before="40" w:after="60"/>
        <w:ind w:left="432"/>
      </w:pPr>
      <w:r>
        <w:rPr>
          <w:b/>
          <w:sz w:val="19"/>
        </w:rPr>
        <w:t xml:space="preserve">31. </w:t>
      </w:r>
      <w:r>
        <w:rPr>
          <w:rFonts w:ascii="Calibri" w:hAnsi="Calibri"/>
          <w:color w:val="1E293B"/>
          <w:sz w:val="19"/>
        </w:rPr>
        <w:t xml:space="preserve">Crucially, the law of international armed conflict establishes an explicit, mandatory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32. </w:t>
      </w:r>
      <w:r>
        <w:rPr>
          <w:rFonts w:ascii="Calibri" w:hAnsi="Calibri"/>
          <w:color w:val="1E293B"/>
          <w:sz w:val="19"/>
        </w:rPr>
        <w:t>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No such intelligence existed.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&amp; Physical Environment of the School</w:t>
      </w:r>
    </w:p>
    <w:p>
      <w:pPr>
        <w:spacing w:before="40" w:after="60"/>
        <w:ind w:left="432"/>
      </w:pPr>
      <w:r>
        <w:rPr>
          <w:b/>
          <w:sz w:val="19"/>
        </w:rPr>
        <w:t xml:space="preserve">33. </w:t>
      </w:r>
      <w:r>
        <w:rPr>
          <w:rFonts w:ascii="Calibri" w:hAnsi="Calibri"/>
          <w:color w:val="1E293B"/>
          <w:sz w:val="19"/>
        </w:rPr>
        <w:t>The Shajareh Tayyebeh Girls' Elementary School (</w:t>
      </w:r>
      <w:r>
        <w:rPr>
          <w:rFonts w:ascii="Calibri" w:hAnsi="Calibri"/>
          <w:i/>
          <w:color w:val="1E293B"/>
          <w:sz w:val="19"/>
        </w:rPr>
        <w:t>Dabestan-e Dokhtaraneh Shajareh Tayyebeh</w:t>
      </w:r>
      <w:r>
        <w:rPr>
          <w:rFonts w:ascii="Calibri" w:hAnsi="Calibri"/>
          <w:color w:val="1E293B"/>
          <w:sz w:val="19"/>
        </w:rPr>
        <w:t>) is situated along the east side of Shahid Beheshti Boulevard in the Taleghani residential neighborhood of Minab, Hormozgan Province, Iran (</w:t>
      </w:r>
      <w:r>
        <w:rPr>
          <w:rFonts w:ascii="Consolas" w:hAnsi="Consolas"/>
          <w:color w:val="831843"/>
          <w:sz w:val="18"/>
        </w:rPr>
        <w:t>27.1352° N, 57.0805° E</w:t>
      </w:r>
      <w:r>
        <w:rPr>
          <w:rFonts w:ascii="Calibri" w:hAnsi="Calibri"/>
          <w:color w:val="1E293B"/>
          <w:sz w:val="19"/>
        </w:rPr>
        <w:t>).</w:t>
      </w:r>
    </w:p>
    <w:p>
      <w:pPr>
        <w:spacing w:before="40" w:after="60"/>
        <w:ind w:left="432"/>
      </w:pPr>
      <w:r>
        <w:rPr>
          <w:b/>
          <w:sz w:val="19"/>
        </w:rPr>
        <w:t xml:space="preserve">34. </w:t>
      </w:r>
      <w:r>
        <w:rPr>
          <w:rFonts w:ascii="Calibri" w:hAnsi="Calibri"/>
          <w:color w:val="1E293B"/>
          <w:sz w:val="19"/>
        </w:rPr>
        <w:t>The facility comprised a two-story reinforced concrete and brick classroom building (approx. 1,450 sq. meters of floor space), an enclosed asphalt courtyard with children's play equipment and sports markings, and an administrative wing housing offices for educators and administrative staff.</w:t>
      </w:r>
    </w:p>
    <w:p>
      <w:pPr>
        <w:spacing w:before="200" w:after="60"/>
      </w:pPr>
      <w:r>
        <w:rPr>
          <w:rFonts w:ascii="Calibri" w:hAnsi="Calibri"/>
          <w:b/>
          <w:color w:val="334155"/>
          <w:sz w:val="22"/>
        </w:rPr>
        <w:t>4.2 Historical Status, Civilian Conversion &amp; The 2016 Concrete Partition Wall</w:t>
      </w:r>
    </w:p>
    <w:p>
      <w:pPr>
        <w:spacing w:before="40" w:after="60"/>
        <w:ind w:left="432"/>
      </w:pPr>
      <w:r>
        <w:rPr>
          <w:b/>
          <w:sz w:val="19"/>
        </w:rPr>
        <w:t xml:space="preserve">35. </w:t>
      </w:r>
      <w:r>
        <w:rPr>
          <w:rFonts w:ascii="Calibri" w:hAnsi="Calibri"/>
          <w:color w:val="1E293B"/>
          <w:sz w:val="19"/>
        </w:rPr>
        <w:t>Historical spatial analysis (EXH-SAT-001) confirms that prior to 2016, the parcel formed part of the outer administrative buffer zone of an IRGC Naval Logistics Base.</w:t>
      </w:r>
    </w:p>
    <w:p>
      <w:pPr>
        <w:spacing w:before="40" w:after="60"/>
        <w:ind w:left="432"/>
      </w:pPr>
      <w:r>
        <w:rPr>
          <w:b/>
          <w:sz w:val="19"/>
        </w:rPr>
        <w:t xml:space="preserve">36. </w:t>
      </w:r>
      <w:r>
        <w:rPr>
          <w:rFonts w:ascii="Calibri" w:hAnsi="Calibri"/>
          <w:color w:val="1E293B"/>
          <w:sz w:val="19"/>
        </w:rPr>
        <w:t xml:space="preserve">However, satellite imagery and municipal records prove that between </w:t>
      </w:r>
      <w:r>
        <w:rPr>
          <w:rFonts w:ascii="Calibri" w:hAnsi="Calibri"/>
          <w:b/>
          <w:color w:val="1E293B"/>
          <w:sz w:val="19"/>
        </w:rPr>
        <w:t>February and August 2016</w:t>
      </w:r>
      <w:r>
        <w:rPr>
          <w:rFonts w:ascii="Calibri" w:hAnsi="Calibri"/>
          <w:color w:val="1E293B"/>
          <w:sz w:val="19"/>
        </w:rPr>
        <w:t>, the parcel underwent a comprehensive, permanent physical transformation:</w:t>
      </w:r>
    </w:p>
    <w:p>
      <w:pPr>
        <w:pStyle w:val="ListBullet"/>
        <w:spacing w:before="20" w:after="40"/>
        <w:ind w:left="576"/>
      </w:pPr>
      <w:r>
        <w:rPr>
          <w:rFonts w:ascii="Calibri" w:hAnsi="Calibri"/>
          <w:b/>
          <w:color w:val="1E293B"/>
          <w:sz w:val="19"/>
        </w:rPr>
        <w:t>Physical Partition:</w:t>
      </w:r>
      <w:r>
        <w:rPr>
          <w:rFonts w:ascii="Calibri" w:hAnsi="Calibri"/>
          <w:color w:val="1E293B"/>
          <w:sz w:val="19"/>
        </w:rPr>
        <w:t xml:space="preserve"> A continuous, 2.8-meter-high reinforced concrete masonry wall was constructed, completely walling off the school parcel from the adjacent naval compound;</w:t>
      </w:r>
    </w:p>
    <w:p>
      <w:pPr>
        <w:pStyle w:val="ListBullet"/>
        <w:spacing w:before="20" w:after="40"/>
        <w:ind w:left="576"/>
      </w:pPr>
      <w:r>
        <w:rPr>
          <w:rFonts w:ascii="Calibri" w:hAnsi="Calibri"/>
          <w:b/>
          <w:color w:val="1E293B"/>
          <w:sz w:val="19"/>
        </w:rPr>
        <w:t>Independent Access:</w:t>
      </w:r>
      <w:r>
        <w:rPr>
          <w:rFonts w:ascii="Calibri" w:hAnsi="Calibri"/>
          <w:color w:val="1E293B"/>
          <w:sz w:val="19"/>
        </w:rPr>
        <w:t xml:space="preserve"> The original military gates were demolished, and a civilian public entrance was constructed facing west toward Shahid Beheshti Boulevard;</w:t>
      </w:r>
    </w:p>
    <w:p>
      <w:pPr>
        <w:pStyle w:val="ListBullet"/>
        <w:spacing w:before="20" w:after="40"/>
        <w:ind w:left="576"/>
      </w:pPr>
      <w:r>
        <w:rPr>
          <w:rFonts w:ascii="Calibri" w:hAnsi="Calibri"/>
          <w:b/>
          <w:color w:val="1E293B"/>
          <w:sz w:val="19"/>
        </w:rPr>
        <w:t>Public Registration:</w:t>
      </w:r>
      <w:r>
        <w:rPr>
          <w:rFonts w:ascii="Calibri" w:hAnsi="Calibri"/>
          <w:color w:val="1E293B"/>
          <w:sz w:val="19"/>
        </w:rPr>
        <w:t xml:space="preserve"> The school was transferred to the Iranian Ministry of Education, received official administrative licensing, and served as the primary public elementary school for girls in the district for </w:t>
      </w:r>
      <w:r>
        <w:rPr>
          <w:rFonts w:ascii="Calibri" w:hAnsi="Calibri"/>
          <w:b/>
          <w:color w:val="1E293B"/>
          <w:sz w:val="19"/>
        </w:rPr>
        <w:t>ten consecutive academic years (2016–2026)</w:t>
      </w:r>
      <w:r>
        <w:rPr>
          <w:rFonts w:ascii="Calibri" w:hAnsi="Calibri"/>
          <w:color w:val="1E293B"/>
          <w:sz w:val="19"/>
        </w:rPr>
        <w:t>.</w:t>
      </w:r>
    </w:p>
    <w:p>
      <w:pPr>
        <w:spacing w:before="40" w:after="60"/>
        <w:ind w:left="432"/>
      </w:pPr>
      <w:r>
        <w:rPr>
          <w:b/>
          <w:sz w:val="19"/>
        </w:rPr>
        <w:t xml:space="preserve">37. </w:t>
      </w:r>
      <w:r>
        <w:rPr>
          <w:rFonts w:ascii="Calibri" w:hAnsi="Calibri"/>
          <w:color w:val="1E293B"/>
          <w:sz w:val="19"/>
        </w:rPr>
        <w:t>The nearest military structure inside the active naval base—a single-story logistics auxiliary storage building (</w:t>
      </w:r>
      <w:r>
        <w:rPr>
          <w:rFonts w:ascii="Consolas" w:hAnsi="Consolas"/>
          <w:color w:val="831843"/>
          <w:sz w:val="18"/>
        </w:rPr>
        <w:t>27.1360° N, 57.0818° E</w:t>
      </w:r>
      <w:r>
        <w:rPr>
          <w:rFonts w:ascii="Calibri" w:hAnsi="Calibri"/>
          <w:color w:val="1E293B"/>
          <w:sz w:val="19"/>
        </w:rPr>
        <w:t xml:space="preserve">)—was situated </w:t>
      </w:r>
      <w:r>
        <w:rPr>
          <w:rFonts w:ascii="Calibri" w:hAnsi="Calibri"/>
          <w:b/>
          <w:color w:val="1E293B"/>
          <w:sz w:val="19"/>
        </w:rPr>
        <w:t>42 meters</w:t>
      </w:r>
      <w:r>
        <w:rPr>
          <w:rFonts w:ascii="Calibri" w:hAnsi="Calibri"/>
          <w:color w:val="1E293B"/>
          <w:sz w:val="19"/>
        </w:rPr>
        <w:t xml:space="preserve"> north of the school's boundary wall.</w:t>
      </w:r>
    </w:p>
    <w:p>
      <w:pPr>
        <w:spacing w:before="200" w:after="60"/>
      </w:pPr>
      <w:r>
        <w:rPr>
          <w:rFonts w:ascii="Calibri" w:hAnsi="Calibri"/>
          <w:b/>
          <w:color w:val="334155"/>
          <w:sz w:val="22"/>
        </w:rPr>
        <w:t>4.3 Operational Chronology: The Morning Academic Session</w:t>
      </w:r>
    </w:p>
    <w:p>
      <w:pPr>
        <w:spacing w:before="40" w:after="60"/>
        <w:ind w:left="432"/>
      </w:pPr>
      <w:r>
        <w:rPr>
          <w:b/>
          <w:sz w:val="19"/>
        </w:rPr>
        <w:t xml:space="preserve">38. </w:t>
      </w:r>
      <w:r>
        <w:rPr>
          <w:rFonts w:ascii="Calibri" w:hAnsi="Calibri"/>
          <w:color w:val="1E293B"/>
          <w:sz w:val="19"/>
        </w:rPr>
        <w:t>On Saturday, February 28, 2026, the school opened in normal operational status at 07:45 IRST. Saturday constitutes the first official day of the instructional school week throughout the Islamic Republic of Iran.</w:t>
      </w:r>
    </w:p>
    <w:p>
      <w:pPr>
        <w:spacing w:before="40" w:after="60"/>
        <w:ind w:left="432"/>
      </w:pPr>
      <w:r>
        <w:rPr>
          <w:b/>
          <w:sz w:val="19"/>
        </w:rPr>
        <w:t xml:space="preserve">39. </w:t>
      </w:r>
      <w:r>
        <w:rPr>
          <w:rFonts w:ascii="Calibri" w:hAnsi="Calibri"/>
          <w:color w:val="1E293B"/>
          <w:sz w:val="19"/>
        </w:rPr>
        <w:t>By 08:30 IRST, morning assembly had concluded, and instructional classes were in active session across all eight primary classrooms on the ground and second floors. A total of 168 individuals were present inside the compound, including 138 registered female students aged 7 to 12, 22 teachers and administrators, and 8 civilian support personnel.</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40. </w:t>
      </w:r>
      <w:r>
        <w:rPr>
          <w:rFonts w:ascii="Calibri" w:hAnsi="Calibri"/>
          <w:color w:val="1E293B"/>
          <w:sz w:val="19"/>
        </w:rPr>
        <w:t>Verified video recordings, regional seismic monitors, and survivor witness accounts establish the precise sequence of the attack:</w:t>
      </w:r>
    </w:p>
    <w:p>
      <w:pPr>
        <w:pStyle w:val="ListBullet"/>
        <w:spacing w:before="20" w:after="40"/>
        <w:ind w:left="576"/>
      </w:pPr>
      <w:r>
        <w:rPr>
          <w:rFonts w:ascii="Calibri" w:hAnsi="Calibri"/>
          <w:b/>
          <w:color w:val="1E293B"/>
          <w:sz w:val="19"/>
        </w:rPr>
        <w:t>09:22:15 IRST (Impact 1):</w:t>
      </w:r>
      <w:r>
        <w:rPr>
          <w:rFonts w:ascii="Calibri" w:hAnsi="Calibri"/>
          <w:color w:val="1E293B"/>
          <w:sz w:val="19"/>
        </w:rPr>
        <w:t xml:space="preserve"> The initial BGM-109 Tomahawk cruise missile penetrated the roof of the central classroom building and detonated in the upper-story hallway. The explosive blast collapsed the second-floor reinforced slab onto ground-floor classrooms, triggering catastrophic structural pancaking;</w:t>
      </w:r>
    </w:p>
    <w:p>
      <w:pPr>
        <w:pStyle w:val="ListBullet"/>
        <w:spacing w:before="20" w:after="40"/>
        <w:ind w:left="576"/>
      </w:pPr>
      <w:r>
        <w:rPr>
          <w:rFonts w:ascii="Calibri" w:hAnsi="Calibri"/>
          <w:b/>
          <w:color w:val="1E293B"/>
          <w:sz w:val="19"/>
        </w:rPr>
        <w:t>09:24:30 IRST (Impact 2):</w:t>
      </w:r>
      <w:r>
        <w:rPr>
          <w:rFonts w:ascii="Calibri" w:hAnsi="Calibri"/>
          <w:color w:val="1E293B"/>
          <w:sz w:val="19"/>
        </w:rPr>
        <w:t xml:space="preserve"> Approximately 135 seconds later, a second Tomahawk struck the western wing of the building, destroying the primary exterior escape stairwell and killing escaping students and teachers;</w:t>
      </w:r>
    </w:p>
    <w:p>
      <w:pPr>
        <w:pStyle w:val="ListBullet"/>
        <w:spacing w:before="20" w:after="40"/>
        <w:ind w:left="576"/>
      </w:pPr>
      <w:r>
        <w:rPr>
          <w:rFonts w:ascii="Calibri" w:hAnsi="Calibri"/>
          <w:b/>
          <w:color w:val="1E293B"/>
          <w:sz w:val="19"/>
        </w:rPr>
        <w:t>09:26:40 IRST (Impact 3):</w:t>
      </w:r>
      <w:r>
        <w:rPr>
          <w:rFonts w:ascii="Calibri" w:hAnsi="Calibri"/>
          <w:color w:val="1E293B"/>
          <w:sz w:val="19"/>
        </w:rPr>
        <w:t xml:space="preserve"> Exactly 130 seconds after the second strike, a third missile struck the center of the schoolyard assembly ground, spraying lethal shrapnel across the open evacuation area.</w:t>
      </w:r>
    </w:p>
    <w:p>
      <w:pPr>
        <w:spacing w:before="40" w:after="60"/>
        <w:ind w:left="432"/>
      </w:pPr>
      <w:r>
        <w:rPr>
          <w:b/>
          <w:sz w:val="19"/>
        </w:rPr>
        <w:t xml:space="preserve">41. </w:t>
      </w:r>
      <w:r>
        <w:rPr>
          <w:rFonts w:ascii="Calibri" w:hAnsi="Calibri"/>
          <w:color w:val="1E293B"/>
          <w:sz w:val="19"/>
        </w:rPr>
        <w:t xml:space="preserve">The execution of a </w:t>
      </w:r>
      <w:r>
        <w:rPr>
          <w:rFonts w:ascii="Calibri" w:hAnsi="Calibri"/>
          <w:b/>
          <w:color w:val="1E293B"/>
          <w:sz w:val="19"/>
        </w:rPr>
        <w:t>triple-tap kinetic salvo</w:t>
      </w:r>
      <w:r>
        <w:rPr>
          <w:rFonts w:ascii="Calibri" w:hAnsi="Calibri"/>
          <w:color w:val="1E293B"/>
          <w:sz w:val="19"/>
        </w:rPr>
        <w:t xml:space="preserve"> against a single geographic coordinate refutes any hypothesis of random guidance malfunction or anomalous mechanical drift. The missiles executed their pre-programmed trajectory with complete fidelity.</w:t>
      </w:r>
    </w:p>
    <w:p>
      <w:pPr>
        <w:spacing w:before="200" w:after="60"/>
      </w:pPr>
      <w:r>
        <w:rPr>
          <w:rFonts w:ascii="Calibri" w:hAnsi="Calibri"/>
          <w:b/>
          <w:color w:val="334155"/>
          <w:sz w:val="22"/>
        </w:rPr>
        <w:t>4.5 Casualty Census, Demographic Matrix &amp; Physical Devastation</w:t>
      </w:r>
    </w:p>
    <w:p>
      <w:pPr>
        <w:spacing w:before="40" w:after="60"/>
        <w:ind w:left="432"/>
      </w:pPr>
      <w:r>
        <w:rPr>
          <w:b/>
          <w:sz w:val="19"/>
        </w:rPr>
        <w:t xml:space="preserve">42. </w:t>
      </w:r>
      <w:r>
        <w:rPr>
          <w:rFonts w:ascii="Calibri" w:hAnsi="Calibri"/>
          <w:color w:val="1E293B"/>
          <w:sz w:val="19"/>
        </w:rPr>
        <w:t>Forensic medicine documentation (EXH-VIC-005) confirms a devastating civilian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students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Adult Fatalities:</w:t>
      </w:r>
      <w:r>
        <w:rPr>
          <w:rFonts w:ascii="Calibri" w:hAnsi="Calibri"/>
          <w:color w:val="1E293B"/>
          <w:sz w:val="19"/>
        </w:rPr>
        <w:t xml:space="preserve"> </w:t>
      </w:r>
      <w:r>
        <w:rPr>
          <w:rFonts w:ascii="Calibri" w:hAnsi="Calibri"/>
          <w:b/>
          <w:color w:val="1E293B"/>
          <w:sz w:val="19"/>
        </w:rPr>
        <w:t>26 educators, instructors, and school administrators</w:t>
      </w:r>
      <w:r>
        <w:rPr>
          <w:rFonts w:ascii="Calibri" w:hAnsi="Calibri"/>
          <w:color w:val="1E293B"/>
          <w:sz w:val="19"/>
        </w:rPr>
        <w:t xml:space="preserve">, and </w:t>
      </w:r>
      <w:r>
        <w:rPr>
          <w:rFonts w:ascii="Calibri" w:hAnsi="Calibri"/>
          <w:b/>
          <w:color w:val="1E293B"/>
          <w:sz w:val="19"/>
        </w:rPr>
        <w:t>10 civilian support personnel</w:t>
      </w:r>
      <w:r>
        <w:rPr>
          <w:rFonts w:ascii="Calibri" w:hAnsi="Calibri"/>
          <w:color w:val="1E293B"/>
          <w:sz w:val="19"/>
        </w:rPr>
        <w:t>;</w:t>
      </w:r>
    </w:p>
    <w:p>
      <w:pPr>
        <w:pStyle w:val="ListBullet"/>
        <w:spacing w:before="20" w:after="40"/>
        <w:ind w:left="576"/>
      </w:pPr>
      <w:r>
        <w:rPr>
          <w:rFonts w:ascii="Calibri" w:hAnsi="Calibri"/>
          <w:b/>
          <w:color w:val="1E293B"/>
          <w:sz w:val="19"/>
        </w:rPr>
        <w:t>Wounded Survivors:</w:t>
      </w:r>
      <w:r>
        <w:rPr>
          <w:rFonts w:ascii="Calibri" w:hAnsi="Calibri"/>
          <w:color w:val="1E293B"/>
          <w:sz w:val="19"/>
        </w:rPr>
        <w:t xml:space="preserve"> </w:t>
      </w:r>
      <w:r>
        <w:rPr>
          <w:rFonts w:ascii="Calibri" w:hAnsi="Calibri"/>
          <w:b/>
          <w:color w:val="1E293B"/>
          <w:sz w:val="19"/>
        </w:rPr>
        <w:t>95+ individuals</w:t>
      </w:r>
      <w:r>
        <w:rPr>
          <w:rFonts w:ascii="Calibri" w:hAnsi="Calibri"/>
          <w:color w:val="1E293B"/>
          <w:sz w:val="19"/>
        </w:rPr>
        <w:t xml:space="preserve"> sustaining severe, life-altering injuries, including traumatic brain injuries, traumatic bilateral limb amputations, third-degree blast burns, and irreversible blindness;</w:t>
      </w:r>
    </w:p>
    <w:p>
      <w:pPr>
        <w:pStyle w:val="ListBullet"/>
        <w:spacing w:before="20" w:after="40"/>
        <w:ind w:left="576"/>
      </w:pPr>
      <w:r>
        <w:rPr>
          <w:rFonts w:ascii="Calibri" w:hAnsi="Calibri"/>
          <w:b/>
          <w:color w:val="1E293B"/>
          <w:sz w:val="19"/>
        </w:rPr>
        <w:t>Infrastructural Annihilation:</w:t>
      </w:r>
      <w:r>
        <w:rPr>
          <w:rFonts w:ascii="Calibri" w:hAnsi="Calibri"/>
          <w:color w:val="1E293B"/>
          <w:sz w:val="19"/>
        </w:rPr>
        <w:t xml:space="preserve"> 100% destruction of the central classroom wing, producing an impact crater 6.2 meters in diameter and 2.8 meters deep.</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43. </w:t>
      </w:r>
      <w:r>
        <w:rPr>
          <w:rFonts w:ascii="Calibri" w:hAnsi="Calibri"/>
          <w:color w:val="1E293B"/>
          <w:sz w:val="19"/>
        </w:rPr>
        <w:t>Physical debris recovered from the impact crater and schoolyard (EXH-MUN-002) was examined by certified ordnance forensics specialists.</w:t>
      </w:r>
    </w:p>
    <w:p>
      <w:pPr>
        <w:spacing w:before="40" w:after="60"/>
        <w:ind w:left="432"/>
      </w:pPr>
      <w:r>
        <w:rPr>
          <w:b/>
          <w:sz w:val="19"/>
        </w:rPr>
        <w:t xml:space="preserve">44.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45.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46.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47. </w:t>
      </w:r>
      <w:r>
        <w:rPr>
          <w:rFonts w:ascii="Calibri" w:hAnsi="Calibri"/>
          <w:color w:val="1E293B"/>
          <w:sz w:val="19"/>
        </w:rPr>
        <w:t>Regional air defense radar ingress vectors and naval tracking data (EXH-LAUNCH-003) establish that the cruise missiles flew at low altitude (30–50 meters AGL) following an ingress route from the Gulf of Oman.</w:t>
      </w:r>
    </w:p>
    <w:p>
      <w:pPr>
        <w:spacing w:before="40" w:after="60"/>
        <w:ind w:left="432"/>
      </w:pPr>
      <w:r>
        <w:rPr>
          <w:b/>
          <w:sz w:val="19"/>
        </w:rPr>
        <w:t xml:space="preserve">48.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49.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50.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51.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52. </w:t>
      </w:r>
      <w:r>
        <w:rPr>
          <w:rFonts w:ascii="Calibri" w:hAnsi="Calibri"/>
          <w:color w:val="1E293B"/>
          <w:sz w:val="19"/>
        </w:rPr>
        <w:t>Military defendants frequently attempt to justify targeting misidentifications by invoking the "fog of war"—the informational deficits, time urgency, and extreme cognitive stress of dynamic combat.</w:t>
      </w:r>
    </w:p>
    <w:p>
      <w:pPr>
        <w:spacing w:before="40" w:after="60"/>
        <w:ind w:left="432"/>
      </w:pPr>
      <w:r>
        <w:rPr>
          <w:b/>
          <w:sz w:val="19"/>
        </w:rPr>
        <w:t xml:space="preserve">53.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54.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55.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56.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57. </w:t>
      </w:r>
      <w:r>
        <w:rPr>
          <w:rFonts w:ascii="Calibri" w:hAnsi="Calibri"/>
          <w:color w:val="1E293B"/>
          <w:sz w:val="19"/>
        </w:rPr>
        <w:t>Applying this exact tripartite test to the Minab strike demonstrates identical institutional negligence:</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58.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59.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60.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CENTCOM review officers simply confirmed that the strike coordinates matched the historical DIA target dossier. No officer initiated an independent query of updated civil registries or external imagery, creating a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61.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62. </w:t>
      </w:r>
      <w:r>
        <w:rPr>
          <w:rFonts w:ascii="Calibri" w:hAnsi="Calibri"/>
          <w:color w:val="1E293B"/>
          <w:sz w:val="19"/>
        </w:rPr>
        <w:t>In Minab, the Target Review Board operated in complete insulation from readily accessible public information:</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63.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64.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65.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66.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60"/>
        <w:ind w:left="432"/>
      </w:pPr>
      <w:r>
        <w:rPr>
          <w:b/>
          <w:sz w:val="19"/>
        </w:rPr>
        <w:t xml:space="preserve">67. </w:t>
      </w:r>
      <w:r>
        <w:rPr>
          <w:rFonts w:ascii="Calibri" w:hAnsi="Calibri"/>
          <w:color w:val="1E293B"/>
          <w:sz w:val="19"/>
        </w:rPr>
        <w:t xml:space="preserve">Launching a weapon with optical terminal matching and failing to abort the strike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—reconciling oneself to the destruction of an active civilian facility.</w:t>
      </w:r>
    </w:p>
    <w:p>
      <w:pPr>
        <w:spacing w:before="200" w:after="60"/>
      </w:pPr>
      <w:r>
        <w:rPr>
          <w:rFonts w:ascii="Calibri" w:hAnsi="Calibri"/>
          <w:b/>
          <w:color w:val="334155"/>
          <w:sz w:val="22"/>
        </w:rPr>
        <w:t>6.5 Command Confirmation Bias &amp; Automated AI Pipeline Failure (*Kabul Drone*)</w:t>
      </w:r>
    </w:p>
    <w:p>
      <w:pPr>
        <w:spacing w:before="40" w:after="60"/>
        <w:ind w:left="432"/>
      </w:pPr>
      <w:r>
        <w:rPr>
          <w:b/>
          <w:sz w:val="19"/>
        </w:rPr>
        <w:t xml:space="preserve">68. </w:t>
      </w:r>
      <w:r>
        <w:rPr>
          <w:rFonts w:ascii="Calibri" w:hAnsi="Calibri"/>
          <w:color w:val="1E293B"/>
          <w:sz w:val="19"/>
        </w:rPr>
        <w:t xml:space="preserve">The cognitive pathology in Minab mirrors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69. </w:t>
      </w:r>
      <w:r>
        <w:rPr>
          <w:rFonts w:ascii="Calibri" w:hAnsi="Calibri"/>
          <w:color w:val="1E293B"/>
          <w:sz w:val="19"/>
        </w:rPr>
        <w:t>In the August 29, 2021 Kabul strike, US drone operators tracked civilian Zemari Ahmadi, interpreting water jugs as explosives due to confirmation bias. The Air Force IG found that analysts systematically filtered out contradictory civilian evidence.</w:t>
      </w:r>
    </w:p>
    <w:p>
      <w:pPr>
        <w:spacing w:before="40" w:after="60"/>
        <w:ind w:left="432"/>
      </w:pPr>
      <w:r>
        <w:rPr>
          <w:b/>
          <w:sz w:val="19"/>
        </w:rPr>
        <w:t xml:space="preserve">70. </w:t>
      </w:r>
      <w:r>
        <w:rPr>
          <w:rFonts w:ascii="Calibri" w:hAnsi="Calibri"/>
          <w:color w:val="1E293B"/>
          <w:sz w:val="19"/>
        </w:rPr>
        <w:t>In Minab, CENTCOM’s automated AI-assisted target nomination pipeline (Project Maven derivatives) and human vetting officers operated under the pre-conceived hypothesis that the area was an IRGC base, filtering out ten years of civilian educational activity.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71. </w:t>
      </w:r>
      <w:r>
        <w:rPr>
          <w:rFonts w:ascii="Calibri" w:hAnsi="Calibri"/>
          <w:color w:val="1E293B"/>
          <w:sz w:val="19"/>
        </w:rPr>
        <w:t xml:space="preserve">The Principle of Distinction is the foundational cornerstone of IHL. 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72. </w:t>
      </w:r>
      <w:r>
        <w:rPr>
          <w:rFonts w:ascii="Calibri" w:hAnsi="Calibri"/>
          <w:color w:val="1E293B"/>
          <w:sz w:val="19"/>
        </w:rPr>
        <w:t>Directing three precision-guided cruise missiles against an active girls' elementary school constitutes a direct violation of the Principle of Distinction. Because the school made zero contribution to military action, directing kinetic force against it was inherently unlawful.</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73.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74. </w:t>
      </w:r>
      <w:r>
        <w:rPr>
          <w:rFonts w:ascii="Calibri" w:hAnsi="Calibri"/>
          <w:color w:val="1E293B"/>
          <w:sz w:val="19"/>
        </w:rPr>
        <w:t xml:space="preserve">In </w:t>
      </w:r>
      <w:r>
        <w:rPr>
          <w:rFonts w:ascii="Calibri" w:hAnsi="Calibri"/>
          <w:b/>
          <w:color w:val="1E293B"/>
          <w:sz w:val="19"/>
        </w:rPr>
        <w:t>Case 04: *Al-Jina Mosque Strike* (UN Commission of Inquiry on Syria, 2017, A/HRC/36/55)</w:t>
      </w:r>
      <w:r>
        <w:rPr>
          <w:rFonts w:ascii="Calibri" w:hAnsi="Calibri"/>
          <w:color w:val="1E293B"/>
          <w:sz w:val="19"/>
        </w:rPr>
        <w:t xml:space="preserve">, the UN established that target verification is a </w:t>
      </w:r>
      <w:r>
        <w:rPr>
          <w:rFonts w:ascii="Calibri" w:hAnsi="Calibri"/>
          <w:b/>
          <w:color w:val="1E293B"/>
          <w:sz w:val="19"/>
        </w:rPr>
        <w:t>continuous, temporal obligation</w:t>
      </w:r>
      <w:r>
        <w:rPr>
          <w:rFonts w:ascii="Calibri" w:hAnsi="Calibri"/>
          <w:color w:val="1E293B"/>
          <w:sz w:val="19"/>
        </w:rPr>
        <w:t>. Proximity to an adversary military base magnifies, rather than diminishes, the affirmative duty to verify adjacent civilian facilities.</w:t>
      </w:r>
    </w:p>
    <w:p>
      <w:pPr>
        <w:spacing w:before="40" w:after="60"/>
        <w:ind w:left="432"/>
      </w:pPr>
      <w:r>
        <w:rPr>
          <w:b/>
          <w:sz w:val="19"/>
        </w:rPr>
        <w:t xml:space="preserve">75. </w:t>
      </w:r>
      <w:r>
        <w:rPr>
          <w:rFonts w:ascii="Calibri" w:hAnsi="Calibri"/>
          <w:color w:val="1E293B"/>
          <w:sz w:val="19"/>
        </w:rPr>
        <w:t>CENTCOM’s failure to verify the status of the school over a ten-year peacetime window constitutes a per se violation of the duty of feasible precautions.</w:t>
      </w:r>
    </w:p>
    <w:p>
      <w:pPr>
        <w:spacing w:before="200" w:after="60"/>
      </w:pPr>
      <w:r>
        <w:rPr>
          <w:rFonts w:ascii="Calibri" w:hAnsi="Calibri"/>
          <w:b/>
          <w:color w:val="334155"/>
          <w:sz w:val="22"/>
        </w:rPr>
        <w:t>7.3 Violation of the Principle of Proportionality (AP I Art. 51(5)(b); CIHL Rule 14; *Katyr-Yurt* &amp; *Dahyan*)</w:t>
      </w:r>
    </w:p>
    <w:p>
      <w:pPr>
        <w:spacing w:before="40" w:after="60"/>
        <w:ind w:left="432"/>
      </w:pPr>
      <w:r>
        <w:rPr>
          <w:b/>
          <w:sz w:val="19"/>
        </w:rPr>
        <w:t xml:space="preserve">76. </w:t>
      </w:r>
      <w:r>
        <w:rPr>
          <w:rFonts w:ascii="Calibri" w:hAnsi="Calibri"/>
          <w:color w:val="1E293B"/>
          <w:sz w:val="19"/>
        </w:rPr>
        <w:t>Even if CENTCOM intended to strike the adjacent storage building 42 meters away, the strike was fundamentally disproportionate.</w:t>
      </w:r>
    </w:p>
    <w:p>
      <w:pPr>
        <w:spacing w:before="40" w:after="60"/>
        <w:ind w:left="432"/>
      </w:pPr>
      <w:r>
        <w:rPr>
          <w:b/>
          <w:sz w:val="19"/>
        </w:rPr>
        <w:t xml:space="preserve">77. </w:t>
      </w:r>
      <w:r>
        <w:rPr>
          <w:rFonts w:ascii="Calibri" w:hAnsi="Calibri"/>
          <w:color w:val="1E293B"/>
          <w:sz w:val="19"/>
        </w:rPr>
        <w:t xml:space="preserve">In </w:t>
      </w:r>
      <w:r>
        <w:rPr>
          <w:rFonts w:ascii="Calibri" w:hAnsi="Calibri"/>
          <w:b/>
          <w:color w:val="1E293B"/>
          <w:sz w:val="19"/>
        </w:rPr>
        <w:t>Case 03: *Isayeva v. Russia* (ECtHR, 2005, §§ 189–191)</w:t>
      </w:r>
      <w:r>
        <w:rPr>
          <w:rFonts w:ascii="Calibri" w:hAnsi="Calibri"/>
          <w:color w:val="1E293B"/>
          <w:sz w:val="19"/>
        </w:rPr>
        <w:t xml:space="preserve">, the Court held that deploying heavy aerial bombs adjacent to a civilian settlement violates the right to life. In </w:t>
      </w:r>
      <w:r>
        <w:rPr>
          <w:rFonts w:ascii="Calibri" w:hAnsi="Calibri"/>
          <w:b/>
          <w:color w:val="1E293B"/>
          <w:sz w:val="19"/>
        </w:rPr>
        <w:t>Case 15: *Dahyan School Bus Strike* (UN GEE, 2018)</w:t>
      </w:r>
      <w:r>
        <w:rPr>
          <w:rFonts w:ascii="Calibri" w:hAnsi="Calibri"/>
          <w:color w:val="1E293B"/>
          <w:sz w:val="19"/>
        </w:rPr>
        <w:t>, deploying blast weapons near children was condemned as an indiscriminate attack.</w:t>
      </w:r>
    </w:p>
    <w:p>
      <w:pPr>
        <w:spacing w:before="40" w:after="60"/>
        <w:ind w:left="432"/>
      </w:pPr>
      <w:r>
        <w:rPr>
          <w:b/>
          <w:sz w:val="19"/>
        </w:rPr>
        <w:t xml:space="preserve">78.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79.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80.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81.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82.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 and</w:t>
      </w:r>
    </w:p>
    <w:p>
      <w:pPr>
        <w:pStyle w:val="ListBullet"/>
        <w:spacing w:before="20" w:after="40"/>
        <w:ind w:left="576"/>
      </w:pPr>
      <w:r>
        <w:rPr>
          <w:rFonts w:ascii="Calibri" w:hAnsi="Calibri"/>
          <w:color w:val="1E293B"/>
          <w:sz w:val="19"/>
        </w:rPr>
        <w:t>(iii) The CENTCOM Target Review Board members who validated the strike without verifying the physical ground reality.</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83.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84. </w:t>
      </w:r>
      <w:r>
        <w:rPr>
          <w:rFonts w:ascii="Calibri" w:hAnsi="Calibri"/>
          <w:color w:val="1E293B"/>
          <w:sz w:val="19"/>
        </w:rPr>
        <w:t>The dissolution of civilian harm mitigation oversight programs and the prioritization of algorithmic strike speed without human vetting establish systemic command failure.</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85.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86.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87.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v. Germany* [GC], ECHR Art. 2)</w:t>
      </w:r>
    </w:p>
    <w:p>
      <w:pPr>
        <w:spacing w:before="40" w:after="60"/>
        <w:ind w:left="432"/>
      </w:pPr>
      <w:r>
        <w:rPr>
          <w:b/>
          <w:sz w:val="19"/>
        </w:rPr>
        <w:t xml:space="preserve">88.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89.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90.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and failure of positive target identification;</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xml:space="preserve"> that the strike breached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91.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—where the United States accepted full responsibility, apologized, and paid </w:t>
      </w:r>
      <w:r>
        <w:rPr>
          <w:rFonts w:ascii="Calibri" w:hAnsi="Calibri"/>
          <w:b/>
          <w:color w:val="1E293B"/>
          <w:sz w:val="19"/>
        </w:rPr>
        <w:t>\$32.5 million</w:t>
      </w:r>
      <w:r>
        <w:rPr>
          <w:rFonts w:ascii="Calibri" w:hAnsi="Calibri"/>
          <w:color w:val="1E293B"/>
          <w:sz w:val="19"/>
        </w:rPr>
        <w:t xml:space="preserve"> in direct state and victim restitution—the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generation pipelines for coordinates within 500 meters of registered civilian and educational buildings, coupled with mandatory 72-hour human visual verification protocols;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92.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(EXH-SAT-001 through EXH-VIC-005)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United Nations Human Rights Council</w:t>
      </w:r>
      <w:r>
        <w:rPr>
          <w:rFonts w:ascii="Calibri" w:hAnsi="Calibri"/>
          <w:color w:val="1E293B"/>
          <w:sz w:val="19"/>
        </w:rPr>
        <w:t xml:space="preserve"> and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93.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2026-09-13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