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val="clear" w:color="auto" w:fill="FEF2F2"/>
            <w:tcMar>
              <w:top w:w="180" w:type="dxa"/>
              <w:bottom w:w="180" w:type="dxa"/>
              <w:left w:w="240" w:type="dxa"/>
              <w:right w:w="240" w:type="dxa"/>
            </w:tcMar>
            <w:tcBorders>
              <w:top w:val="single" w:sz="16" w:space="0" w:color="B91C1C"/>
              <w:bottom w:val="single" w:sz="16" w:space="0" w:color="B91C1C"/>
              <w:left w:val="single" w:sz="16" w:space="0" w:color="B91C1C"/>
              <w:right w:val="single" w:sz="16" w:space="0" w:color="B91C1C"/>
            </w:tcBorders>
          </w:tcPr>
          <w:p>
            <w:pPr>
              <w:spacing w:before="0" w:after="80"/>
            </w:pPr>
            <w:r>
              <w:rPr>
                <w:b/>
                <w:color w:val="B91C1C"/>
                <w:sz w:val="24"/>
              </w:rPr>
              <w:t>WORKING DRAFT — PRIVATELY SHARED FOR FEEDBACK</w:t>
            </w:r>
          </w:p>
          <w:p>
            <w:pPr>
              <w:spacing w:before="0" w:after="120"/>
            </w:pPr>
            <w:r>
              <w:rPr>
                <w:b/>
                <w:color w:val="991B1B"/>
                <w:sz w:val="18"/>
              </w:rPr>
              <w:t>CONFIDENTIAL &amp; PRIVILEGED · FOR PRE-FILING REVIEW &amp; EDITORIAL CONSULTATION ONLY</w:t>
            </w:r>
          </w:p>
          <w:p>
            <w:pPr>
              <w:spacing w:before="0" w:after="120"/>
            </w:pPr>
            <w:r>
              <w:rPr>
                <w:color w:val="334155"/>
                <w:sz w:val="18"/>
              </w:rPr>
              <w:t>This document constitutes an official preliminary working draft prepared by People for Peace &amp; Justice ry (PFPJ ry) in relation to DOCKET NO.: PFPJ-2026-IR-001 / EXHIBIT COMPENDIUM. It is circulated on a strictly confidential basis to designated legal counsel, forensic specialists, and reviewers for feedback. It must not be cited, copied, or circulated in public without prior written authorization.</w:t>
            </w:r>
          </w:p>
          <w:p>
            <w:pPr>
              <w:spacing w:before="0" w:after="0"/>
            </w:pPr>
            <w:r>
              <w:rPr>
                <w:i/>
                <w:color w:val="64748B"/>
                <w:sz w:val="16"/>
              </w:rPr>
              <w:t>Production Date: 2026-10-11 · Status: Working Draft (Pre-Filing Review Edition) · Helsinki, Finland</w:t>
            </w:r>
          </w:p>
        </w:tc>
      </w:tr>
    </w:tbl>
    <w:p>
      <w:pPr>
        <w:spacing w:after="240"/>
      </w:pPr>
    </w:p>
    <w:p>
      <w:pPr>
        <w:spacing w:before="320" w:after="80"/>
      </w:pPr>
      <w:r>
        <w:rPr>
          <w:rFonts w:ascii="Calibri" w:hAnsi="Calibri"/>
          <w:b/>
          <w:color w:val="0F172A"/>
          <w:sz w:val="30"/>
        </w:rPr>
        <w:t>BEFORE THE INDEPENDENT EXPERT INQUIRY PANEL</w:t>
      </w:r>
    </w:p>
    <w:p>
      <w:pPr>
        <w:spacing w:before="200" w:after="60"/>
      </w:pPr>
      <w:r>
        <w:rPr>
          <w:rFonts w:ascii="Calibri" w:hAnsi="Calibri"/>
          <w:b/>
          <w:color w:val="334155"/>
          <w:sz w:val="22"/>
        </w:rPr>
        <w:t>IN THE MATTER OF THE ARMED CONFLICT IN THE MIDDLE EAST (COMMENCING FEBRUARY 28, 2026)</w:t>
      </w:r>
    </w:p>
    <w:p>
      <w:pPr>
        <w:spacing w:before="40" w:after="80" w:line="276" w:lineRule="auto"/>
      </w:pPr>
      <w:r>
        <w:rPr>
          <w:rFonts w:ascii="Calibri" w:hAnsi="Calibri"/>
          <w:b/>
          <w:color w:val="1E293B"/>
          <w:sz w:val="20"/>
        </w:rPr>
        <w:t>DOCKET NO.: PFPJ-2026-IR-001 / EXHIBIT COMPENDIUM</w:t>
      </w:r>
    </w:p>
    <w:p>
      <w:pPr>
        <w:spacing w:before="80" w:after="80"/>
        <w:jc w:val="center"/>
      </w:pPr>
      <w:r>
        <w:rPr>
          <w:color w:val="CBD5E1"/>
        </w:rPr>
        <w:t>————————————————————————————————</w:t>
      </w:r>
    </w:p>
    <w:p>
      <w:pPr>
        <w:spacing w:before="320" w:after="80"/>
      </w:pPr>
      <w:r>
        <w:rPr>
          <w:rFonts w:ascii="Calibri" w:hAnsi="Calibri"/>
          <w:b/>
          <w:color w:val="0F172A"/>
          <w:sz w:val="30"/>
        </w:rPr>
        <w:t>MASTER EXHIBIT DOSSIER &amp; EVIDENTIARY COMPENDIUM</w:t>
      </w:r>
    </w:p>
    <w:p>
      <w:pPr>
        <w:spacing w:before="200" w:after="60"/>
      </w:pPr>
      <w:r>
        <w:rPr>
          <w:rFonts w:ascii="Calibri" w:hAnsi="Calibri"/>
          <w:b/>
          <w:color w:val="334155"/>
          <w:sz w:val="22"/>
        </w:rPr>
        <w:t>COMPREHENSIVE REPOSITORY OF FACTUAL EVIDENCE, TECHNICAL FORENSICS, GEOSPATIAL TELEMETRY, OFFICIAL DISCLOSURES, CASUALTY REGISTRIES &amp; RESERVED DOCKETS</w:t>
      </w:r>
    </w:p>
    <w:p>
      <w:pPr>
        <w:spacing w:before="160" w:after="40"/>
      </w:pPr>
      <w:r>
        <w:rPr>
          <w:rFonts w:ascii="Calibri" w:hAnsi="Calibri"/>
          <w:b/>
          <w:i/>
          <w:color w:val="475569"/>
          <w:sz w:val="21"/>
        </w:rPr>
        <w:t>*Accompanying the Expert Factual Determination &amp; Comprehensive Legal Assessment Concerning the Airstrike on Shajareh Tayyebeh Girls' Elementary School in Minab, Iran*</w:t>
      </w:r>
    </w:p>
    <w:p>
      <w:pPr>
        <w:spacing w:before="80" w:after="120"/>
        <w:ind w:left="432"/>
      </w:pPr>
      <w:r>
        <w:rPr>
          <w:rFonts w:ascii="Calibri" w:hAnsi="Calibri"/>
          <w:b/>
          <w:i/>
          <w:color w:val="334155"/>
          <w:sz w:val="19"/>
        </w:rPr>
        <w:t>Submitting &amp; Certifying Body:</w:t>
      </w:r>
      <w:r>
        <w:rPr>
          <w:rFonts w:ascii="Calibri" w:hAnsi="Calibri"/>
          <w:i/>
          <w:color w:val="334155"/>
          <w:sz w:val="19"/>
        </w:rPr>
        <w:t xml:space="preserve"> People for Peace &amp; Justice ry (PFPJ ry) — Helsinki, Finland (Business ID: </w:t>
      </w:r>
      <w:r>
        <w:rPr>
          <w:rFonts w:ascii="Consolas" w:hAnsi="Consolas"/>
          <w:i/>
          <w:color w:val="831843"/>
          <w:sz w:val="18"/>
        </w:rPr>
        <w:t>3616815-5</w:t>
      </w:r>
      <w:r>
        <w:rPr>
          <w:rFonts w:ascii="Calibri" w:hAnsi="Calibri"/>
          <w:i/>
          <w:color w:val="334155"/>
          <w:sz w:val="19"/>
        </w:rPr>
        <w:t xml:space="preserve">) </w:t>
      </w:r>
      <w:r>
        <w:rPr>
          <w:rFonts w:ascii="Calibri" w:hAnsi="Calibri"/>
          <w:b/>
          <w:i/>
          <w:color w:val="334155"/>
          <w:sz w:val="19"/>
        </w:rPr>
        <w:t>Protocol Standard:</w:t>
      </w:r>
      <w:r>
        <w:rPr>
          <w:rFonts w:ascii="Calibri" w:hAnsi="Calibri"/>
          <w:i/>
          <w:color w:val="334155"/>
          <w:sz w:val="19"/>
        </w:rPr>
        <w:t xml:space="preserve"> Berkeley Protocol on Digital Open Source Investigations (</w:t>
      </w:r>
      <w:r>
        <w:rPr>
          <w:rFonts w:ascii="Calibri" w:hAnsi="Calibri"/>
          <w:i/>
          <w:color w:val="334155"/>
          <w:sz w:val="19"/>
        </w:rPr>
        <w:t>OHCHR, 2020</w:t>
      </w:r>
      <w:r>
        <w:rPr>
          <w:rFonts w:ascii="Calibri" w:hAnsi="Calibri"/>
          <w:i/>
          <w:color w:val="334155"/>
          <w:sz w:val="19"/>
        </w:rPr>
        <w:t xml:space="preserve">) &amp; ICTY Rule 89(C) Probative Evidence Framework </w:t>
      </w:r>
      <w:r>
        <w:rPr>
          <w:rFonts w:ascii="Calibri" w:hAnsi="Calibri"/>
          <w:b/>
          <w:i/>
          <w:color w:val="334155"/>
          <w:sz w:val="19"/>
        </w:rPr>
        <w:t>Procedural Rule on Reserved Dockets:</w:t>
      </w:r>
      <w:r>
        <w:rPr>
          <w:rFonts w:ascii="Calibri" w:hAnsi="Calibri"/>
          <w:i/>
          <w:color w:val="334155"/>
          <w:sz w:val="19"/>
        </w:rPr>
        <w:t xml:space="preserve"> ICTY/ICTR Rule 54bis &amp; Rule 98 Framework for Pending Discovery, State Document Production &amp; Forensic Evidence Ingestion </w:t>
      </w:r>
      <w:r>
        <w:rPr>
          <w:rFonts w:ascii="Calibri" w:hAnsi="Calibri"/>
          <w:b/>
          <w:i/>
          <w:color w:val="334155"/>
          <w:sz w:val="19"/>
        </w:rPr>
        <w:t>Accompanying Master Dossier:</w:t>
      </w:r>
      <w:r>
        <w:rPr>
          <w:rFonts w:ascii="Calibri" w:hAnsi="Calibri"/>
          <w:i/>
          <w:color w:val="334155"/>
          <w:sz w:val="19"/>
        </w:rPr>
        <w:t xml:space="preserve"> </w:t>
      </w:r>
      <w:r>
        <w:rPr>
          <w:rFonts w:ascii="Calibri" w:hAnsi="Calibri"/>
          <w:i/>
          <w:color w:val="2563EB"/>
          <w:sz w:val="19"/>
          <w:u w:val="single"/>
        </w:rPr>
        <w:t>`FACTUAL_DETERMINATION_AND_COMPLAINT_MASTER.md`</w:t>
      </w:r>
      <w:r>
        <w:rPr>
          <w:rFonts w:ascii="Calibri" w:hAnsi="Calibri"/>
          <w:i/>
          <w:color w:val="334155"/>
          <w:sz w:val="19"/>
        </w:rPr>
        <w:t xml:space="preserve"> </w:t>
      </w:r>
      <w:r>
        <w:rPr>
          <w:rFonts w:ascii="Calibri" w:hAnsi="Calibri"/>
          <w:b/>
          <w:i/>
          <w:color w:val="334155"/>
          <w:sz w:val="19"/>
        </w:rPr>
        <w:t>Custody Location:</w:t>
      </w:r>
      <w:r>
        <w:rPr>
          <w:rFonts w:ascii="Calibri" w:hAnsi="Calibri"/>
          <w:i/>
          <w:color w:val="334155"/>
          <w:sz w:val="19"/>
        </w:rPr>
        <w:t xml:space="preserve"> Permanent Digital Evidence Vault — Helsinki, Finland (SHA-256 Verified) </w:t>
      </w:r>
      <w:r>
        <w:rPr>
          <w:rFonts w:ascii="Calibri" w:hAnsi="Calibri"/>
          <w:b/>
          <w:i/>
          <w:color w:val="334155"/>
          <w:sz w:val="19"/>
        </w:rPr>
        <w:t>Document Status:</w:t>
      </w:r>
      <w:r>
        <w:rPr>
          <w:rFonts w:ascii="Calibri" w:hAnsi="Calibri"/>
          <w:i/>
          <w:color w:val="334155"/>
          <w:sz w:val="19"/>
        </w:rPr>
        <w:t xml:space="preserve"> OFFICIAL CERTIFIED EXHIBIT COMPENDIUM (September 2026 Edition)</w:t>
      </w:r>
    </w:p>
    <w:p>
      <w:pPr>
        <w:spacing w:before="80" w:after="80"/>
        <w:jc w:val="center"/>
      </w:pPr>
      <w:r>
        <w:rPr>
          <w:color w:val="CBD5E1"/>
        </w:rPr>
        <w:t>————————————————————————————————</w:t>
      </w:r>
    </w:p>
    <w:p>
      <w:pPr>
        <w:spacing w:before="280" w:after="80"/>
      </w:pPr>
      <w:r>
        <w:rPr>
          <w:rFonts w:ascii="Calibri" w:hAnsi="Calibri"/>
          <w:b/>
          <w:color w:val="1E293B"/>
          <w:sz w:val="26"/>
        </w:rPr>
        <w:t>MASTER TABLE OF CONTENTS &amp; EXHIBIT INDEX</w:t>
      </w:r>
    </w:p>
    <w:p>
      <w:pPr>
        <w:pStyle w:val="ListBullet"/>
        <w:spacing w:before="20" w:after="40"/>
      </w:pPr>
      <w:r>
        <w:rPr>
          <w:rFonts w:ascii="Calibri" w:hAnsi="Calibri"/>
          <w:color w:val="2563EB"/>
          <w:sz w:val="19"/>
          <w:u w:val="single"/>
        </w:rPr>
        <w:t>EXHIBIT SERIES OVERVIEW &amp; AUTHENTICATION STATEMENT</w:t>
      </w:r>
    </w:p>
    <w:p>
      <w:pPr>
        <w:pStyle w:val="ListBullet"/>
        <w:spacing w:before="20" w:after="40"/>
      </w:pPr>
      <w:r>
        <w:rPr>
          <w:rFonts w:ascii="Calibri" w:hAnsi="Calibri"/>
          <w:color w:val="2563EB"/>
          <w:sz w:val="19"/>
          <w:u w:val="single"/>
        </w:rPr>
        <w:t>EXHIBIT SERIES SAT: GEOSPATIAL DEMARCATION, SATELLITE CHRONOLOGY &amp; SPATIAL VECTORS</w:t>
      </w:r>
    </w:p>
    <w:p>
      <w:pPr>
        <w:pStyle w:val="ListBullet"/>
        <w:spacing w:before="20" w:after="40"/>
        <w:ind w:left="576"/>
      </w:pPr>
      <w:r>
        <w:rPr>
          <w:rFonts w:ascii="Calibri" w:hAnsi="Calibri"/>
          <w:color w:val="2563EB"/>
          <w:sz w:val="19"/>
          <w:u w:val="single"/>
        </w:rPr>
        <w:t>EXH-SAT-001.1: Historical Base Perimeter &amp; Pre-Partition Status (2013–2015)</w:t>
      </w:r>
    </w:p>
    <w:p>
      <w:pPr>
        <w:pStyle w:val="ListBullet"/>
        <w:spacing w:before="20" w:after="40"/>
        <w:ind w:left="576"/>
      </w:pPr>
      <w:r>
        <w:rPr>
          <w:rFonts w:ascii="Calibri" w:hAnsi="Calibri"/>
          <w:color w:val="2563EB"/>
          <w:sz w:val="19"/>
          <w:u w:val="single"/>
        </w:rPr>
        <w:t>EXH-SAT-001.2: The 2016 Physical Construction &amp; Concrete Partition Wall</w:t>
      </w:r>
    </w:p>
    <w:p>
      <w:pPr>
        <w:pStyle w:val="ListBullet"/>
        <w:spacing w:before="20" w:after="40"/>
        <w:ind w:left="576"/>
      </w:pPr>
      <w:r>
        <w:rPr>
          <w:rFonts w:ascii="Calibri" w:hAnsi="Calibri"/>
          <w:color w:val="2563EB"/>
          <w:sz w:val="19"/>
          <w:u w:val="single"/>
        </w:rPr>
        <w:t>EXH-SAT-001.3: Continuous Peacetime Educational Operation (2016–2026)</w:t>
      </w:r>
    </w:p>
    <w:p>
      <w:pPr>
        <w:pStyle w:val="ListBullet"/>
        <w:spacing w:before="20" w:after="40"/>
        <w:ind w:left="576"/>
      </w:pPr>
      <w:r>
        <w:rPr>
          <w:rFonts w:ascii="Calibri" w:hAnsi="Calibri"/>
          <w:color w:val="2563EB"/>
          <w:sz w:val="19"/>
          <w:u w:val="single"/>
        </w:rPr>
        <w:t>EXH-SAT-001.4: Sub-Meter Spatial Measurements &amp; 42-Meter Vector Analysis</w:t>
      </w:r>
    </w:p>
    <w:p>
      <w:pPr>
        <w:pStyle w:val="ListBullet"/>
        <w:spacing w:before="20" w:after="40"/>
        <w:ind w:left="576"/>
      </w:pPr>
      <w:r>
        <w:rPr>
          <w:rFonts w:ascii="Calibri" w:hAnsi="Calibri"/>
          <w:color w:val="2563EB"/>
          <w:sz w:val="19"/>
          <w:u w:val="single"/>
        </w:rPr>
        <w:t>EXH-SAT-001.5: Post-Strike Damage Assessment &amp; Structural Pancake Collapse</w:t>
      </w:r>
    </w:p>
    <w:p>
      <w:pPr>
        <w:pStyle w:val="ListBullet"/>
        <w:spacing w:before="20" w:after="40"/>
        <w:ind w:left="576"/>
      </w:pPr>
      <w:r>
        <w:rPr>
          <w:rFonts w:ascii="Calibri" w:hAnsi="Calibri"/>
          <w:color w:val="2563EB"/>
          <w:sz w:val="19"/>
          <w:u w:val="single"/>
        </w:rPr>
        <w:t>EXH-SAT-001.6 [RESERVED / PENDING NRO DECLASSIFICATION]: Classified Keyhole (KH-11) Overhead Reconnaissance Feeds</w:t>
      </w:r>
    </w:p>
    <w:p>
      <w:pPr>
        <w:pStyle w:val="ListBullet"/>
        <w:spacing w:before="20" w:after="40"/>
      </w:pPr>
      <w:r>
        <w:rPr>
          <w:rFonts w:ascii="Calibri" w:hAnsi="Calibri"/>
          <w:color w:val="2563EB"/>
          <w:sz w:val="19"/>
          <w:u w:val="single"/>
        </w:rPr>
        <w:t>EXHIBIT SERIES MUN: MUNITIONS FORENSICS, DEBRIS METALLURGY &amp; BLAST BALLISTICS</w:t>
      </w:r>
    </w:p>
    <w:p>
      <w:pPr>
        <w:pStyle w:val="ListBullet"/>
        <w:spacing w:before="20" w:after="40"/>
        <w:ind w:left="576"/>
      </w:pPr>
      <w:r>
        <w:rPr>
          <w:rFonts w:ascii="Calibri" w:hAnsi="Calibri"/>
          <w:color w:val="2563EB"/>
          <w:sz w:val="19"/>
          <w:u w:val="single"/>
        </w:rPr>
        <w:t>EXH-MUN-002.1: Physical Remnants Recovery &amp; Chain of Custody Log</w:t>
      </w:r>
    </w:p>
    <w:p>
      <w:pPr>
        <w:pStyle w:val="ListBullet"/>
        <w:spacing w:before="20" w:after="40"/>
        <w:ind w:left="576"/>
      </w:pPr>
      <w:r>
        <w:rPr>
          <w:rFonts w:ascii="Calibri" w:hAnsi="Calibri"/>
          <w:color w:val="2563EB"/>
          <w:sz w:val="19"/>
          <w:u w:val="single"/>
        </w:rPr>
        <w:t>EXH-MUN-002.2: Serialized Avionics Circuit Boards &amp; CAGE Code Attribution</w:t>
      </w:r>
    </w:p>
    <w:p>
      <w:pPr>
        <w:pStyle w:val="ListBullet"/>
        <w:spacing w:before="20" w:after="40"/>
        <w:ind w:left="576"/>
      </w:pPr>
      <w:r>
        <w:rPr>
          <w:rFonts w:ascii="Calibri" w:hAnsi="Calibri"/>
          <w:color w:val="2563EB"/>
          <w:sz w:val="19"/>
          <w:u w:val="single"/>
        </w:rPr>
        <w:t>EXH-MUN-002.3: Williams International F107 Turbofan Engine Components</w:t>
      </w:r>
    </w:p>
    <w:p>
      <w:pPr>
        <w:pStyle w:val="ListBullet"/>
        <w:spacing w:before="20" w:after="40"/>
        <w:ind w:left="576"/>
      </w:pPr>
      <w:r>
        <w:rPr>
          <w:rFonts w:ascii="Calibri" w:hAnsi="Calibri"/>
          <w:color w:val="2563EB"/>
          <w:sz w:val="19"/>
          <w:u w:val="single"/>
        </w:rPr>
        <w:t>EXH-MUN-002.4: WDU-36/B Warhead Blast Mechanics &amp; Hydrodynamic Modeling</w:t>
      </w:r>
    </w:p>
    <w:p>
      <w:pPr>
        <w:pStyle w:val="ListBullet"/>
        <w:spacing w:before="20" w:after="40"/>
        <w:ind w:left="576"/>
      </w:pPr>
      <w:r>
        <w:rPr>
          <w:rFonts w:ascii="Calibri" w:hAnsi="Calibri"/>
          <w:color w:val="2563EB"/>
          <w:sz w:val="19"/>
          <w:u w:val="single"/>
        </w:rPr>
        <w:t>EXH-MUN-002.5: Seismic Telemetry &amp; Triple-Tap Chronological Logging</w:t>
      </w:r>
    </w:p>
    <w:p>
      <w:pPr>
        <w:pStyle w:val="ListBullet"/>
        <w:spacing w:before="20" w:after="40"/>
        <w:ind w:left="576"/>
      </w:pPr>
      <w:r>
        <w:rPr>
          <w:rFonts w:ascii="Calibri" w:hAnsi="Calibri"/>
          <w:color w:val="2563EB"/>
          <w:sz w:val="19"/>
          <w:u w:val="single"/>
        </w:rPr>
        <w:t>EXH-MUN-002.6 [RESERVED / PENDING SUBPOENA]: BGM-109 Block IV/V Satellite Telemetry &amp; DSMAC Video Stream</w:t>
      </w:r>
    </w:p>
    <w:p>
      <w:pPr>
        <w:pStyle w:val="ListBullet"/>
        <w:spacing w:before="20" w:after="40"/>
        <w:ind w:left="576"/>
      </w:pPr>
      <w:r>
        <w:rPr>
          <w:rFonts w:ascii="Calibri" w:hAnsi="Calibri"/>
          <w:color w:val="2563EB"/>
          <w:sz w:val="19"/>
          <w:u w:val="single"/>
        </w:rPr>
        <w:t>EXH-MUN-002.7 [RESERVED / PENDING LAB SPECTROMETRY]: Independent Laboratory Soil Core Chemical Spectrometry</w:t>
      </w:r>
    </w:p>
    <w:p>
      <w:pPr>
        <w:pStyle w:val="ListBullet"/>
        <w:spacing w:before="20" w:after="40"/>
      </w:pPr>
      <w:r>
        <w:rPr>
          <w:rFonts w:ascii="Calibri" w:hAnsi="Calibri"/>
          <w:color w:val="2563EB"/>
          <w:sz w:val="19"/>
          <w:u w:val="single"/>
        </w:rPr>
        <w:t>EXHIBIT SERIES LAUNCH: TRAJECTORY TELEMETRY, RADAR TRACKS &amp; LAUNCH ATTRIBUTION</w:t>
      </w:r>
    </w:p>
    <w:p>
      <w:pPr>
        <w:pStyle w:val="ListBullet"/>
        <w:spacing w:before="20" w:after="40"/>
        <w:ind w:left="576"/>
      </w:pPr>
      <w:r>
        <w:rPr>
          <w:rFonts w:ascii="Calibri" w:hAnsi="Calibri"/>
          <w:color w:val="2563EB"/>
          <w:sz w:val="19"/>
          <w:u w:val="single"/>
        </w:rPr>
        <w:t>EXH-LAUNCH-003.1: Air Defense Ingress Radar Vectors &amp; Flight Profile</w:t>
      </w:r>
    </w:p>
    <w:p>
      <w:pPr>
        <w:pStyle w:val="ListBullet"/>
        <w:spacing w:before="20" w:after="40"/>
        <w:ind w:left="576"/>
      </w:pPr>
      <w:r>
        <w:rPr>
          <w:rFonts w:ascii="Calibri" w:hAnsi="Calibri"/>
          <w:color w:val="2563EB"/>
          <w:sz w:val="19"/>
          <w:u w:val="single"/>
        </w:rPr>
        <w:t>EXH-LAUNCH-003.2: United States Force Allocation Maps (Operation Epic Fury)</w:t>
      </w:r>
    </w:p>
    <w:p>
      <w:pPr>
        <w:pStyle w:val="ListBullet"/>
        <w:spacing w:before="20" w:after="40"/>
        <w:ind w:left="576"/>
      </w:pPr>
      <w:r>
        <w:rPr>
          <w:rFonts w:ascii="Calibri" w:hAnsi="Calibri"/>
          <w:color w:val="2563EB"/>
          <w:sz w:val="19"/>
          <w:u w:val="single"/>
        </w:rPr>
        <w:t>EXH-LAUNCH-003.3: Carrier Strike Group Deployment &amp; Launch Platform Verification</w:t>
      </w:r>
    </w:p>
    <w:p>
      <w:pPr>
        <w:pStyle w:val="ListBullet"/>
        <w:spacing w:before="20" w:after="40"/>
        <w:ind w:left="576"/>
      </w:pPr>
      <w:r>
        <w:rPr>
          <w:rFonts w:ascii="Calibri" w:hAnsi="Calibri"/>
          <w:color w:val="2563EB"/>
          <w:sz w:val="19"/>
          <w:u w:val="single"/>
        </w:rPr>
        <w:t>EXH-LAUNCH-003.4: Exclusion of Third-Party and Regional Weapon Inventories</w:t>
      </w:r>
    </w:p>
    <w:p>
      <w:pPr>
        <w:pStyle w:val="ListBullet"/>
        <w:spacing w:before="20" w:after="40"/>
        <w:ind w:left="576"/>
      </w:pPr>
      <w:r>
        <w:rPr>
          <w:rFonts w:ascii="Calibri" w:hAnsi="Calibri"/>
          <w:color w:val="2563EB"/>
          <w:sz w:val="19"/>
          <w:u w:val="single"/>
        </w:rPr>
        <w:t>EXH-LAUNCH-003.5 [RESERVED / PENDING DE-CLASSIFICATION]: Primary Ground Radar Recordings &amp; Electronic Warfare Logs</w:t>
      </w:r>
    </w:p>
    <w:p>
      <w:pPr>
        <w:pStyle w:val="ListBullet"/>
        <w:spacing w:before="20" w:after="40"/>
      </w:pPr>
      <w:r>
        <w:rPr>
          <w:rFonts w:ascii="Calibri" w:hAnsi="Calibri"/>
          <w:color w:val="2563EB"/>
          <w:sz w:val="19"/>
          <w:u w:val="single"/>
        </w:rPr>
        <w:t>EXHIBIT SERIES CENTCOM: OFFICIAL STATEMENTS, ADMISSIONS &amp; 15-6 INQUIRY DISCLOSURES</w:t>
      </w:r>
    </w:p>
    <w:p>
      <w:pPr>
        <w:pStyle w:val="ListBullet"/>
        <w:spacing w:before="20" w:after="40"/>
        <w:ind w:left="576"/>
      </w:pPr>
      <w:r>
        <w:rPr>
          <w:rFonts w:ascii="Calibri" w:hAnsi="Calibri"/>
          <w:color w:val="2563EB"/>
          <w:sz w:val="19"/>
          <w:u w:val="single"/>
        </w:rPr>
        <w:t>EXH-CENTCOM-004.1: Pentagon Press Briefing Transcripts &amp; Public Concessions</w:t>
      </w:r>
    </w:p>
    <w:p>
      <w:pPr>
        <w:pStyle w:val="ListBullet"/>
        <w:spacing w:before="20" w:after="40"/>
        <w:ind w:left="576"/>
      </w:pPr>
      <w:r>
        <w:rPr>
          <w:rFonts w:ascii="Calibri" w:hAnsi="Calibri"/>
          <w:color w:val="2563EB"/>
          <w:sz w:val="19"/>
          <w:u w:val="single"/>
        </w:rPr>
        <w:t>EXH-CENTCOM-004.2: Leaked Findings of CENTCOM AR 15-6 Investigation</w:t>
      </w:r>
    </w:p>
    <w:p>
      <w:pPr>
        <w:pStyle w:val="ListBullet"/>
        <w:spacing w:before="20" w:after="40"/>
        <w:ind w:left="576"/>
      </w:pPr>
      <w:r>
        <w:rPr>
          <w:rFonts w:ascii="Calibri" w:hAnsi="Calibri"/>
          <w:color w:val="2563EB"/>
          <w:sz w:val="19"/>
          <w:u w:val="single"/>
        </w:rPr>
        <w:t>EXH-CENTCOM-004.3: Congressional Oversight Inquiries &amp; Senatorial Correspondence</w:t>
      </w:r>
    </w:p>
    <w:p>
      <w:pPr>
        <w:pStyle w:val="ListBullet"/>
        <w:spacing w:before="20" w:after="40"/>
        <w:ind w:left="576"/>
      </w:pPr>
      <w:r>
        <w:rPr>
          <w:rFonts w:ascii="Calibri" w:hAnsi="Calibri"/>
          <w:color w:val="2563EB"/>
          <w:sz w:val="19"/>
          <w:u w:val="single"/>
        </w:rPr>
        <w:t>EXH-CENTCOM-004.4: Deployment of Automated AI Target Generation Pipelines (Palantir Maven Smart System &amp; Claude AI)</w:t>
      </w:r>
    </w:p>
    <w:p>
      <w:pPr>
        <w:pStyle w:val="ListBullet"/>
        <w:spacing w:before="20" w:after="40"/>
        <w:ind w:left="576"/>
      </w:pPr>
      <w:r>
        <w:rPr>
          <w:rFonts w:ascii="Calibri" w:hAnsi="Calibri"/>
          <w:color w:val="2563EB"/>
          <w:sz w:val="19"/>
          <w:u w:val="single"/>
        </w:rPr>
        <w:t>EXH-CENTCOM-004.5 [RESERVED / PENDING SUBPOENA &amp; DECLASSIFICATION]: Complete Unredacted CENTCOM 15-6 Dossier</w:t>
      </w:r>
    </w:p>
    <w:p>
      <w:pPr>
        <w:pStyle w:val="ListBullet"/>
        <w:spacing w:before="20" w:after="40"/>
      </w:pPr>
      <w:r>
        <w:rPr>
          <w:rFonts w:ascii="Calibri" w:hAnsi="Calibri"/>
          <w:color w:val="2563EB"/>
          <w:sz w:val="19"/>
          <w:u w:val="single"/>
        </w:rPr>
        <w:t>EXHIBIT SERIES VIC: BIOMETRIC CASUALTY ARCHIVE, FORENSIC CERTIFICATES &amp; NOMINAL ROLL</w:t>
      </w:r>
    </w:p>
    <w:p>
      <w:pPr>
        <w:pStyle w:val="ListBullet"/>
        <w:spacing w:before="20" w:after="40"/>
        <w:ind w:left="576"/>
      </w:pPr>
      <w:r>
        <w:rPr>
          <w:rFonts w:ascii="Calibri" w:hAnsi="Calibri"/>
          <w:color w:val="2563EB"/>
          <w:sz w:val="19"/>
          <w:u w:val="single"/>
        </w:rPr>
        <w:t>EXH-VIC-005.1: Hormozgan Legal Medicine Organization (Pezeshki Ghanouni) Registry</w:t>
      </w:r>
    </w:p>
    <w:p>
      <w:pPr>
        <w:pStyle w:val="ListBullet"/>
        <w:spacing w:before="20" w:after="40"/>
        <w:ind w:left="576"/>
      </w:pPr>
      <w:r>
        <w:rPr>
          <w:rFonts w:ascii="Calibri" w:hAnsi="Calibri"/>
          <w:color w:val="2563EB"/>
          <w:sz w:val="19"/>
          <w:u w:val="single"/>
        </w:rPr>
        <w:t>EXH-VIC-005.2: Minab Shahid Mohammadi Hospital Admission &amp; Triage Records</w:t>
      </w:r>
    </w:p>
    <w:p>
      <w:pPr>
        <w:pStyle w:val="ListBullet"/>
        <w:spacing w:before="20" w:after="40"/>
        <w:ind w:left="576"/>
      </w:pPr>
      <w:r>
        <w:rPr>
          <w:rFonts w:ascii="Calibri" w:hAnsi="Calibri"/>
          <w:color w:val="2563EB"/>
          <w:sz w:val="19"/>
          <w:u w:val="single"/>
        </w:rPr>
        <w:t>EXH-VIC-005.3: Ministry of Education Institutional Accreditation &amp; Staff Roster</w:t>
      </w:r>
    </w:p>
    <w:p>
      <w:pPr>
        <w:pStyle w:val="ListBullet"/>
        <w:spacing w:before="20" w:after="40"/>
        <w:ind w:left="576"/>
      </w:pPr>
      <w:r>
        <w:rPr>
          <w:rFonts w:ascii="Calibri" w:hAnsi="Calibri"/>
          <w:color w:val="2563EB"/>
          <w:sz w:val="19"/>
          <w:u w:val="single"/>
        </w:rPr>
        <w:t>EXH-VIC-005.4: Certified Nominal Census of the 156 Deceased Victims</w:t>
      </w:r>
    </w:p>
    <w:p>
      <w:pPr>
        <w:pStyle w:val="ListBullet"/>
        <w:spacing w:before="20" w:after="40"/>
        <w:ind w:left="576"/>
      </w:pPr>
      <w:r>
        <w:rPr>
          <w:rFonts w:ascii="Calibri" w:hAnsi="Calibri"/>
          <w:color w:val="2563EB"/>
          <w:sz w:val="19"/>
          <w:u w:val="single"/>
        </w:rPr>
        <w:t>EXH-VIC-005.5: Verified Photographic Directory &amp; Memorial Cross-Reference</w:t>
      </w:r>
    </w:p>
    <w:p>
      <w:pPr>
        <w:pStyle w:val="ListBullet"/>
        <w:spacing w:before="20" w:after="40"/>
        <w:ind w:left="576"/>
      </w:pPr>
      <w:r>
        <w:rPr>
          <w:rFonts w:ascii="Calibri" w:hAnsi="Calibri"/>
          <w:color w:val="2563EB"/>
          <w:sz w:val="19"/>
          <w:u w:val="single"/>
        </w:rPr>
        <w:t>EXH-VIC-005.6 [RESERVED / PENDING FORENSIC COMPLETION]: Supplementary Biometric Files for Victims 101–156</w:t>
      </w:r>
    </w:p>
    <w:p>
      <w:pPr>
        <w:pStyle w:val="ListBullet"/>
        <w:spacing w:before="20" w:after="40"/>
      </w:pPr>
      <w:r>
        <w:rPr>
          <w:rFonts w:ascii="Calibri" w:hAnsi="Calibri"/>
          <w:color w:val="2563EB"/>
          <w:sz w:val="19"/>
          <w:u w:val="single"/>
        </w:rPr>
        <w:t>EXHIBIT SERIES WIT: EYEWITNESS, SURVIVOR &amp; EXPERT TESTIMONIAL DEPOSITIONS [RESERVED]</w:t>
      </w:r>
    </w:p>
    <w:p>
      <w:pPr>
        <w:pStyle w:val="ListBullet"/>
        <w:spacing w:before="20" w:after="40"/>
        <w:ind w:left="576"/>
      </w:pPr>
      <w:r>
        <w:rPr>
          <w:rFonts w:ascii="Calibri" w:hAnsi="Calibri"/>
          <w:color w:val="2563EB"/>
          <w:sz w:val="19"/>
          <w:u w:val="single"/>
        </w:rPr>
        <w:t>EXH-WIT-007.1 [RESERVED / RULE 75 PROTECTIVE MEASURES]: Sworn Affidavits of Surviving Educational Staff</w:t>
      </w:r>
    </w:p>
    <w:p>
      <w:pPr>
        <w:pStyle w:val="ListBullet"/>
        <w:spacing w:before="20" w:after="40"/>
        <w:ind w:left="576"/>
      </w:pPr>
      <w:r>
        <w:rPr>
          <w:rFonts w:ascii="Calibri" w:hAnsi="Calibri"/>
          <w:color w:val="2563EB"/>
          <w:sz w:val="19"/>
          <w:u w:val="single"/>
        </w:rPr>
        <w:t>EXH-WIT-007.2 [RESERVED / RULE 75 PROTECTIVE MEASURES]: Sworn Affidavits of First Responders &amp; Emergency Surgeons</w:t>
      </w:r>
    </w:p>
    <w:p>
      <w:pPr>
        <w:pStyle w:val="ListBullet"/>
        <w:spacing w:before="20" w:after="40"/>
        <w:ind w:left="576"/>
      </w:pPr>
      <w:r>
        <w:rPr>
          <w:rFonts w:ascii="Calibri" w:hAnsi="Calibri"/>
          <w:color w:val="2563EB"/>
          <w:sz w:val="19"/>
          <w:u w:val="single"/>
        </w:rPr>
        <w:t>EXH-WIT-007.3 [RESERVED / RULE 75 PROTECTIVE MEASURES]: Bereaved Family Victim Impact &amp; Guardianship Affidavits</w:t>
      </w:r>
    </w:p>
    <w:p>
      <w:pPr>
        <w:pStyle w:val="ListBullet"/>
        <w:spacing w:before="20" w:after="40"/>
      </w:pPr>
      <w:r>
        <w:rPr>
          <w:rFonts w:ascii="Calibri" w:hAnsi="Calibri"/>
          <w:color w:val="2563EB"/>
          <w:sz w:val="19"/>
          <w:u w:val="single"/>
        </w:rPr>
        <w:t>EXHIBIT SERIES OSINT: INDEPENDENT INVESTIGATIVE &amp; MEDIA REPORTS ARCHIVE</w:t>
      </w:r>
    </w:p>
    <w:p>
      <w:pPr>
        <w:pStyle w:val="ListBullet"/>
        <w:spacing w:before="20" w:after="40"/>
        <w:ind w:left="576"/>
      </w:pPr>
      <w:r>
        <w:rPr>
          <w:rFonts w:ascii="Calibri" w:hAnsi="Calibri"/>
          <w:color w:val="2563EB"/>
          <w:sz w:val="19"/>
          <w:u w:val="single"/>
        </w:rPr>
        <w:t>EXH-OSINT-006.1: Tier 1 Major Investigative Reports (Bloomberg, NYT, BBC Verify, WaPo, CBC, Bellingcat)</w:t>
      </w:r>
    </w:p>
    <w:p>
      <w:pPr>
        <w:pStyle w:val="ListBullet"/>
        <w:spacing w:before="20" w:after="40"/>
        <w:ind w:left="576"/>
      </w:pPr>
      <w:r>
        <w:rPr>
          <w:rFonts w:ascii="Calibri" w:hAnsi="Calibri"/>
          <w:color w:val="2563EB"/>
          <w:sz w:val="19"/>
          <w:u w:val="single"/>
        </w:rPr>
        <w:t>EXH-OSINT-006.2: Tier 2 Legal Analyses &amp; NGO Findings (HRW, Amnesty International, New Lines)</w:t>
      </w:r>
    </w:p>
    <w:p>
      <w:pPr>
        <w:pStyle w:val="ListBullet"/>
        <w:spacing w:before="20" w:after="40"/>
      </w:pPr>
      <w:r>
        <w:rPr>
          <w:rFonts w:ascii="Calibri" w:hAnsi="Calibri"/>
          <w:color w:val="2563EB"/>
          <w:sz w:val="19"/>
          <w:u w:val="single"/>
        </w:rPr>
        <w:t>EXHIBIT SERIES UN: UNITED NATIONS INTERGOVERNMENTAL FACT-FINDING ARCHIVE</w:t>
      </w:r>
    </w:p>
    <w:p>
      <w:pPr>
        <w:pStyle w:val="ListBullet"/>
        <w:spacing w:before="20" w:after="40"/>
        <w:ind w:left="576"/>
      </w:pPr>
      <w:r>
        <w:rPr>
          <w:rFonts w:ascii="Calibri" w:hAnsi="Calibri"/>
          <w:color w:val="2563EB"/>
          <w:sz w:val="19"/>
          <w:u w:val="single"/>
        </w:rPr>
        <w:t>EXH-UN-008.1: Independent International Fact-Finding Mission on Iran Report (UN Doc. A/HRC/63/61)</w:t>
      </w:r>
    </w:p>
    <w:p>
      <w:pPr>
        <w:pStyle w:val="ListBullet"/>
        <w:spacing w:before="20" w:after="40"/>
      </w:pPr>
      <w:r>
        <w:rPr>
          <w:rFonts w:ascii="Calibri" w:hAnsi="Calibri"/>
          <w:color w:val="2563EB"/>
          <w:sz w:val="19"/>
          <w:u w:val="single"/>
        </w:rPr>
        <w:t>RESERVED EVIDENTIARY DOCKETS &amp; PENDING DISCOVERY PROTOCOL (RULE 54bis)</w:t>
      </w:r>
    </w:p>
    <w:p>
      <w:pPr>
        <w:pStyle w:val="ListBullet"/>
        <w:spacing w:before="20" w:after="40"/>
      </w:pPr>
      <w:r>
        <w:rPr>
          <w:rFonts w:ascii="Calibri" w:hAnsi="Calibri"/>
          <w:color w:val="2563EB"/>
          <w:sz w:val="19"/>
          <w:u w:val="single"/>
        </w:rPr>
        <w:t>CRYPTOGRAPHIC INTEGRITY, CHAIN OF CUSTODY &amp; JUDICIAL ACCESS PROTOCOL</w:t>
      </w:r>
    </w:p>
    <w:p>
      <w:pPr>
        <w:spacing w:before="80" w:after="80"/>
        <w:jc w:val="center"/>
      </w:pPr>
      <w:r>
        <w:rPr>
          <w:color w:val="CBD5E1"/>
        </w:rPr>
        <w:t>————————————————————————————————</w:t>
      </w:r>
    </w:p>
    <w:p>
      <w:pPr>
        <w:spacing w:before="320" w:after="80"/>
      </w:pPr>
      <w:r>
        <w:rPr>
          <w:rFonts w:ascii="Calibri" w:hAnsi="Calibri"/>
          <w:b/>
          <w:color w:val="0F172A"/>
          <w:sz w:val="30"/>
        </w:rPr>
        <w:t>EXHIBIT SERIES OVERVIEW &amp; AUTHENTICATION STATEMENT</w:t>
      </w:r>
    </w:p>
    <w:p>
      <w:pPr>
        <w:spacing w:before="40" w:after="60"/>
        <w:ind w:left="432"/>
      </w:pPr>
      <w:r>
        <w:rPr>
          <w:b/>
          <w:sz w:val="19"/>
        </w:rPr>
        <w:t xml:space="preserve">1. </w:t>
      </w:r>
      <w:r>
        <w:rPr>
          <w:rFonts w:ascii="Calibri" w:hAnsi="Calibri"/>
          <w:color w:val="1E293B"/>
          <w:sz w:val="19"/>
        </w:rPr>
        <w:t>This Master Exhibit Dossier compiles, catalogues, and authenticates every item of physical, digital, geospatial, documentary, and testimonial evidence referenced in the primary expert determination dossier (</w:t>
      </w:r>
      <w:r>
        <w:rPr>
          <w:rFonts w:ascii="Calibri" w:hAnsi="Calibri"/>
          <w:color w:val="2563EB"/>
          <w:sz w:val="19"/>
          <w:u w:val="single"/>
        </w:rPr>
        <w:t>`FACTUAL_DETERMINATION_AND_COMPLAINT_MASTER.md`</w:t>
      </w:r>
      <w:r>
        <w:rPr>
          <w:rFonts w:ascii="Calibri" w:hAnsi="Calibri"/>
          <w:color w:val="1E293B"/>
          <w:sz w:val="19"/>
        </w:rPr>
        <w:t>).</w:t>
      </w:r>
    </w:p>
    <w:p>
      <w:pPr>
        <w:spacing w:before="40" w:after="60"/>
        <w:ind w:left="432"/>
      </w:pPr>
      <w:r>
        <w:rPr>
          <w:b/>
          <w:sz w:val="19"/>
        </w:rPr>
        <w:t xml:space="preserve">2. </w:t>
      </w:r>
      <w:r>
        <w:rPr>
          <w:rFonts w:ascii="Calibri" w:hAnsi="Calibri"/>
          <w:color w:val="1E293B"/>
          <w:sz w:val="19"/>
        </w:rPr>
        <w:t xml:space="preserve">All materials have been processed under the </w:t>
      </w:r>
      <w:r>
        <w:rPr>
          <w:rFonts w:ascii="Calibri" w:hAnsi="Calibri"/>
          <w:b/>
          <w:color w:val="1E293B"/>
          <w:sz w:val="19"/>
        </w:rPr>
        <w:t>Berkeley Protocol on Digital Open Source Investigations</w:t>
      </w:r>
      <w:r>
        <w:rPr>
          <w:rFonts w:ascii="Calibri" w:hAnsi="Calibri"/>
          <w:color w:val="1E293B"/>
          <w:sz w:val="19"/>
        </w:rPr>
        <w:t xml:space="preserve"> (</w:t>
      </w:r>
      <w:r>
        <w:rPr>
          <w:rFonts w:ascii="Calibri" w:hAnsi="Calibri"/>
          <w:i/>
          <w:color w:val="1E293B"/>
          <w:sz w:val="19"/>
        </w:rPr>
        <w:t>OHCHR, 2020</w:t>
      </w:r>
      <w:r>
        <w:rPr>
          <w:rFonts w:ascii="Calibri" w:hAnsi="Calibri"/>
          <w:color w:val="1E293B"/>
          <w:sz w:val="19"/>
        </w:rPr>
        <w:t>). Each active digital exhibit is secured by a unique SHA-256 cryptographic hash calculated upon initial ingestion, precluding subsequent modification, tampering, or digital degradation.</w:t>
      </w:r>
    </w:p>
    <w:p>
      <w:pPr>
        <w:spacing w:before="40" w:after="60"/>
        <w:ind w:left="432"/>
      </w:pPr>
      <w:r>
        <w:rPr>
          <w:b/>
          <w:sz w:val="19"/>
        </w:rPr>
        <w:t xml:space="preserve">3. </w:t>
      </w:r>
      <w:r>
        <w:rPr>
          <w:rFonts w:ascii="Calibri" w:hAnsi="Calibri"/>
          <w:color w:val="1E293B"/>
          <w:sz w:val="19"/>
        </w:rPr>
        <w:t xml:space="preserve">Pursuant to </w:t>
      </w:r>
      <w:r>
        <w:rPr>
          <w:rFonts w:ascii="Calibri" w:hAnsi="Calibri"/>
          <w:b/>
          <w:color w:val="1E293B"/>
          <w:sz w:val="19"/>
        </w:rPr>
        <w:t>Rule 89(C) of the ICTY and ICTR Rules of Procedure and Evidence</w:t>
      </w:r>
      <w:r>
        <w:rPr>
          <w:rFonts w:ascii="Calibri" w:hAnsi="Calibri"/>
          <w:color w:val="1E293B"/>
          <w:sz w:val="19"/>
        </w:rPr>
        <w:t>, this compendium provides the necessary evidentiary foundation proving the relevance, authenticity, and probative value of each exhibit.</w:t>
      </w:r>
    </w:p>
    <w:p>
      <w:pPr>
        <w:spacing w:before="40" w:after="60"/>
        <w:ind w:left="432"/>
      </w:pPr>
      <w:r>
        <w:rPr>
          <w:b/>
          <w:sz w:val="19"/>
        </w:rPr>
        <w:t xml:space="preserve">4. </w:t>
      </w:r>
      <w:r>
        <w:rPr>
          <w:rFonts w:ascii="Calibri" w:hAnsi="Calibri"/>
          <w:color w:val="1E293B"/>
          <w:sz w:val="19"/>
        </w:rPr>
        <w:t>Furthermore, in accordance with international judicial standards regarding ongoing proceedings and progressive evidence gathering (</w:t>
      </w:r>
      <w:r>
        <w:rPr>
          <w:rFonts w:ascii="Calibri" w:hAnsi="Calibri"/>
          <w:b/>
          <w:color w:val="1E293B"/>
          <w:sz w:val="19"/>
        </w:rPr>
        <w:t>ICTY/ICTR Rule 54bis and Rule 98</w:t>
      </w:r>
      <w:r>
        <w:rPr>
          <w:rFonts w:ascii="Calibri" w:hAnsi="Calibri"/>
          <w:color w:val="1E293B"/>
          <w:sz w:val="19"/>
        </w:rPr>
        <w:t xml:space="preserve">), formal </w:t>
      </w:r>
      <w:r>
        <w:rPr>
          <w:rFonts w:ascii="Calibri" w:hAnsi="Calibri"/>
          <w:b/>
          <w:color w:val="1E293B"/>
          <w:sz w:val="19"/>
        </w:rPr>
        <w:t>Reserved Evidentiary Dockets</w:t>
      </w:r>
      <w:r>
        <w:rPr>
          <w:rFonts w:ascii="Calibri" w:hAnsi="Calibri"/>
          <w:color w:val="1E293B"/>
          <w:sz w:val="19"/>
        </w:rPr>
        <w:t xml:space="preserve"> are established within each series. These reserved placeholders maintain judicial chain of custody for evidence currently subject to state declassification, formal subpoenas, foreign letters rogatory (</w:t>
      </w:r>
      <w:r>
        <w:rPr>
          <w:rFonts w:ascii="Calibri" w:hAnsi="Calibri"/>
          <w:i/>
          <w:color w:val="1E293B"/>
          <w:sz w:val="19"/>
        </w:rPr>
        <w:t>oikeusapupyyntö</w:t>
      </w:r>
      <w:r>
        <w:rPr>
          <w:rFonts w:ascii="Calibri" w:hAnsi="Calibri"/>
          <w:color w:val="1E293B"/>
          <w:sz w:val="19"/>
        </w:rPr>
        <w:t>), protective deposition protocols, or pending laboratory analysis.</w:t>
      </w:r>
    </w:p>
    <w:p>
      <w:pPr>
        <w:spacing w:before="80" w:after="80"/>
        <w:jc w:val="center"/>
      </w:pPr>
      <w:r>
        <w:rPr>
          <w:color w:val="CBD5E1"/>
        </w:rPr>
        <w:t>————————————————————————————————</w:t>
      </w:r>
    </w:p>
    <w:p>
      <w:pPr>
        <w:spacing w:before="320" w:after="80"/>
      </w:pPr>
      <w:r>
        <w:rPr>
          <w:rFonts w:ascii="Calibri" w:hAnsi="Calibri"/>
          <w:b/>
          <w:color w:val="0F172A"/>
          <w:sz w:val="30"/>
        </w:rPr>
        <w:t>EXHIBIT SERIES SAT: GEOSPATIAL DEMARCATION, SATELLITE CHRONOLOGY &amp; SPATIAL VECTORS</w:t>
      </w:r>
    </w:p>
    <w:p>
      <w:pPr>
        <w:spacing w:before="200" w:after="60"/>
      </w:pPr>
      <w:r>
        <w:rPr>
          <w:rFonts w:ascii="Calibri" w:hAnsi="Calibri"/>
          <w:b/>
          <w:color w:val="334155"/>
          <w:sz w:val="22"/>
        </w:rPr>
        <w:t>EXH-SAT-001.1: Historical Base Perimeter &amp; Pre-Partition Status (2013–2015)</w:t>
      </w:r>
    </w:p>
    <w:p>
      <w:pPr>
        <w:pStyle w:val="ListBullet"/>
        <w:spacing w:before="20" w:after="40"/>
      </w:pPr>
      <w:r>
        <w:rPr>
          <w:rFonts w:ascii="Calibri" w:hAnsi="Calibri"/>
          <w:b/>
          <w:color w:val="1E293B"/>
          <w:sz w:val="19"/>
        </w:rPr>
        <w:t>Description:</w:t>
      </w:r>
      <w:r>
        <w:rPr>
          <w:rFonts w:ascii="Calibri" w:hAnsi="Calibri"/>
          <w:color w:val="1E293B"/>
          <w:sz w:val="19"/>
        </w:rPr>
        <w:t xml:space="preserve"> Historical high-resolution optical satellite imagery acquired by DigitalGlobe / Maxar QuickBird and WorldView-2 sensors between October 14, 2013, and November 22, 2015.</w:t>
      </w:r>
    </w:p>
    <w:p>
      <w:pPr>
        <w:pStyle w:val="ListBullet"/>
        <w:spacing w:before="20" w:after="40"/>
      </w:pPr>
      <w:r>
        <w:rPr>
          <w:rFonts w:ascii="Calibri" w:hAnsi="Calibri"/>
          <w:b/>
          <w:color w:val="1E293B"/>
          <w:sz w:val="19"/>
        </w:rPr>
        <w:t>Geographic Focus:</w:t>
      </w:r>
      <w:r>
        <w:rPr>
          <w:rFonts w:ascii="Calibri" w:hAnsi="Calibri"/>
          <w:color w:val="1E293B"/>
          <w:sz w:val="19"/>
        </w:rPr>
        <w:t xml:space="preserve"> Latitude </w:t>
      </w:r>
      <w:r>
        <w:rPr>
          <w:rFonts w:ascii="Consolas" w:hAnsi="Consolas"/>
          <w:color w:val="831843"/>
          <w:sz w:val="18"/>
        </w:rPr>
        <w:t>27.1352° N</w:t>
      </w:r>
      <w:r>
        <w:rPr>
          <w:rFonts w:ascii="Calibri" w:hAnsi="Calibri"/>
          <w:color w:val="1E293B"/>
          <w:sz w:val="19"/>
        </w:rPr>
        <w:t xml:space="preserve">, Longitude </w:t>
      </w:r>
      <w:r>
        <w:rPr>
          <w:rFonts w:ascii="Consolas" w:hAnsi="Consolas"/>
          <w:color w:val="831843"/>
          <w:sz w:val="18"/>
        </w:rPr>
        <w:t>57.0805° E</w:t>
      </w:r>
      <w:r>
        <w:rPr>
          <w:rFonts w:ascii="Calibri" w:hAnsi="Calibri"/>
          <w:color w:val="1E293B"/>
          <w:sz w:val="19"/>
        </w:rPr>
        <w:t>, Shahid Beheshti Blvd, Minab.</w:t>
      </w:r>
    </w:p>
    <w:p>
      <w:pPr>
        <w:pStyle w:val="ListBullet"/>
        <w:spacing w:before="20" w:after="40"/>
      </w:pPr>
      <w:r>
        <w:rPr>
          <w:rFonts w:ascii="Calibri" w:hAnsi="Calibri"/>
          <w:b/>
          <w:color w:val="1E293B"/>
          <w:sz w:val="19"/>
        </w:rPr>
        <w:t>Factual Determination:</w:t>
      </w:r>
    </w:p>
    <w:p>
      <w:pPr>
        <w:spacing w:before="40" w:after="60"/>
        <w:ind w:left="432"/>
      </w:pPr>
      <w:r>
        <w:rPr>
          <w:b/>
          <w:sz w:val="19"/>
        </w:rPr>
        <w:t xml:space="preserve">1. </w:t>
      </w:r>
      <w:r>
        <w:rPr>
          <w:rFonts w:ascii="Calibri" w:hAnsi="Calibri"/>
          <w:color w:val="1E293B"/>
          <w:sz w:val="19"/>
        </w:rPr>
        <w:t>In imagery dated 2013, the structure currently functioning as Shajareh Tayyebeh School was contiguous with the broader southern administrative compound of the Islamic Revolutionary Guard Corps (IRGC) Naval Logistics Base.</w:t>
      </w:r>
    </w:p>
    <w:p>
      <w:pPr>
        <w:spacing w:before="40" w:after="60"/>
        <w:ind w:left="432"/>
      </w:pPr>
      <w:r>
        <w:rPr>
          <w:b/>
          <w:sz w:val="19"/>
        </w:rPr>
        <w:t xml:space="preserve">2. </w:t>
      </w:r>
      <w:r>
        <w:rPr>
          <w:rFonts w:ascii="Calibri" w:hAnsi="Calibri"/>
          <w:color w:val="1E293B"/>
          <w:sz w:val="19"/>
        </w:rPr>
        <w:t>No permanent masonry separation wall existed at that time; internal unpaved access tracks connected the building to military storage warehouses to the north.</w:t>
      </w:r>
    </w:p>
    <w:p>
      <w:pPr>
        <w:spacing w:before="40" w:after="60"/>
        <w:ind w:left="432"/>
      </w:pPr>
      <w:r>
        <w:rPr>
          <w:b/>
          <w:sz w:val="19"/>
        </w:rPr>
        <w:t xml:space="preserve">3. </w:t>
      </w:r>
      <w:r>
        <w:rPr>
          <w:rFonts w:ascii="Calibri" w:hAnsi="Calibri"/>
          <w:color w:val="1E293B"/>
          <w:sz w:val="19"/>
        </w:rPr>
        <w:t>This historical configuration formed the baseline for outdated Defense Intelligence Agency (DIA) targeting database entries that remained unrevised for over a decade.</w:t>
      </w:r>
    </w:p>
    <w:p>
      <w:pPr>
        <w:spacing w:before="200" w:after="60"/>
      </w:pPr>
      <w:r>
        <w:rPr>
          <w:rFonts w:ascii="Calibri" w:hAnsi="Calibri"/>
          <w:b/>
          <w:color w:val="334155"/>
          <w:sz w:val="22"/>
        </w:rPr>
        <w:t>EXH-SAT-001.2: The 2016 Physical Construction &amp; Concrete Partition Wall</w:t>
      </w:r>
    </w:p>
    <w:p>
      <w:pPr>
        <w:pStyle w:val="ListBullet"/>
        <w:spacing w:before="20" w:after="40"/>
      </w:pPr>
      <w:r>
        <w:rPr>
          <w:rFonts w:ascii="Calibri" w:hAnsi="Calibri"/>
          <w:b/>
          <w:color w:val="1E293B"/>
          <w:sz w:val="19"/>
        </w:rPr>
        <w:t>Description:</w:t>
      </w:r>
      <w:r>
        <w:rPr>
          <w:rFonts w:ascii="Calibri" w:hAnsi="Calibri"/>
          <w:color w:val="1E293B"/>
          <w:sz w:val="19"/>
        </w:rPr>
        <w:t xml:space="preserve"> Time-series satellite imagery from Planet Labs (0.50m) and Maxar WorldView-3 (0.31m) captured between February 12, 2016, and August 28, 2016.</w:t>
      </w:r>
    </w:p>
    <w:p>
      <w:pPr>
        <w:pStyle w:val="ListBullet"/>
        <w:spacing w:before="20" w:after="40"/>
      </w:pPr>
      <w:r>
        <w:rPr>
          <w:rFonts w:ascii="Calibri" w:hAnsi="Calibri"/>
          <w:b/>
          <w:color w:val="1E293B"/>
          <w:sz w:val="19"/>
        </w:rPr>
        <w:t>Factual Determination:</w:t>
      </w:r>
    </w:p>
    <w:p>
      <w:pPr>
        <w:spacing w:before="40" w:after="60"/>
        <w:ind w:left="432"/>
      </w:pPr>
      <w:r>
        <w:rPr>
          <w:b/>
          <w:sz w:val="19"/>
        </w:rPr>
        <w:t xml:space="preserve">1. </w:t>
      </w:r>
      <w:r>
        <w:rPr>
          <w:rFonts w:ascii="Calibri" w:hAnsi="Calibri"/>
          <w:color w:val="1E293B"/>
          <w:sz w:val="19"/>
        </w:rPr>
        <w:t xml:space="preserve">Construction activity commenced in early spring 2016, erecting a permanent, reinforced concrete masonry wall measuring </w:t>
      </w:r>
      <w:r>
        <w:rPr>
          <w:rFonts w:ascii="Calibri" w:hAnsi="Calibri"/>
          <w:b/>
          <w:color w:val="1E293B"/>
          <w:sz w:val="19"/>
        </w:rPr>
        <w:t>2.8 meters in height</w:t>
      </w:r>
      <w:r>
        <w:rPr>
          <w:rFonts w:ascii="Calibri" w:hAnsi="Calibri"/>
          <w:color w:val="1E293B"/>
          <w:sz w:val="19"/>
        </w:rPr>
        <w:t xml:space="preserve"> along the northern boundary of the school parcel.</w:t>
      </w:r>
    </w:p>
    <w:p>
      <w:pPr>
        <w:spacing w:before="40" w:after="60"/>
        <w:ind w:left="432"/>
      </w:pPr>
      <w:r>
        <w:rPr>
          <w:b/>
          <w:sz w:val="19"/>
        </w:rPr>
        <w:t xml:space="preserve">2. </w:t>
      </w:r>
      <w:r>
        <w:rPr>
          <w:rFonts w:ascii="Calibri" w:hAnsi="Calibri"/>
          <w:color w:val="1E293B"/>
          <w:sz w:val="19"/>
        </w:rPr>
        <w:t>The wall completely severed the parcel from the naval base, terminating all vehicular and pedestrian access tracks to the military compound.</w:t>
      </w:r>
    </w:p>
    <w:p>
      <w:pPr>
        <w:spacing w:before="40" w:after="60"/>
        <w:ind w:left="432"/>
      </w:pPr>
      <w:r>
        <w:rPr>
          <w:b/>
          <w:sz w:val="19"/>
        </w:rPr>
        <w:t xml:space="preserve">3. </w:t>
      </w:r>
      <w:r>
        <w:rPr>
          <w:rFonts w:ascii="Calibri" w:hAnsi="Calibri"/>
          <w:color w:val="1E293B"/>
          <w:sz w:val="19"/>
        </w:rPr>
        <w:t>A new, dedicated civilian gate was opened facing west onto Shahid Beheshti Boulevard, establishing an independent municipal perimeter.</w:t>
      </w:r>
    </w:p>
    <w:p>
      <w:pPr>
        <w:spacing w:before="200" w:after="60"/>
      </w:pPr>
      <w:r>
        <w:rPr>
          <w:rFonts w:ascii="Calibri" w:hAnsi="Calibri"/>
          <w:b/>
          <w:color w:val="334155"/>
          <w:sz w:val="22"/>
        </w:rPr>
        <w:t>EXH-SAT-001.3: Continuous Peacetime Educational Operation (2016–2026)</w:t>
      </w:r>
    </w:p>
    <w:p>
      <w:pPr>
        <w:pStyle w:val="ListBullet"/>
        <w:spacing w:before="20" w:after="40"/>
      </w:pPr>
      <w:r>
        <w:rPr>
          <w:rFonts w:ascii="Calibri" w:hAnsi="Calibri"/>
          <w:b/>
          <w:color w:val="1E293B"/>
          <w:sz w:val="19"/>
        </w:rPr>
        <w:t>Description:</w:t>
      </w:r>
      <w:r>
        <w:rPr>
          <w:rFonts w:ascii="Calibri" w:hAnsi="Calibri"/>
          <w:color w:val="1E293B"/>
          <w:sz w:val="19"/>
        </w:rPr>
        <w:t xml:space="preserve"> Multi-spectral, multi-temporal commercial satellite archive comprising 142 distinct high-resolution satellite overflights between September 2016 and February 2026 (PlanetScope, Maxar, Airbus Pleiades).</w:t>
      </w:r>
    </w:p>
    <w:p>
      <w:pPr>
        <w:pStyle w:val="ListBullet"/>
        <w:spacing w:before="20" w:after="40"/>
      </w:pPr>
      <w:r>
        <w:rPr>
          <w:rFonts w:ascii="Calibri" w:hAnsi="Calibri"/>
          <w:b/>
          <w:color w:val="1E293B"/>
          <w:sz w:val="19"/>
        </w:rPr>
        <w:t>Factual Determination:</w:t>
      </w:r>
    </w:p>
    <w:p>
      <w:pPr>
        <w:spacing w:before="40" w:after="60"/>
        <w:ind w:left="432"/>
      </w:pPr>
      <w:r>
        <w:rPr>
          <w:b/>
          <w:sz w:val="19"/>
        </w:rPr>
        <w:t xml:space="preserve">1. </w:t>
      </w:r>
      <w:r>
        <w:rPr>
          <w:rFonts w:ascii="Calibri" w:hAnsi="Calibri"/>
          <w:i/>
          <w:color w:val="1E293B"/>
          <w:sz w:val="19"/>
        </w:rPr>
        <w:t>Civilian Playground Fixtures:</w:t>
      </w:r>
      <w:r>
        <w:rPr>
          <w:rFonts w:ascii="Calibri" w:hAnsi="Calibri"/>
          <w:color w:val="1E293B"/>
          <w:sz w:val="19"/>
        </w:rPr>
        <w:t xml:space="preserve"> High-visibility children's recreational apparatus (swings, slides, climbing frames) painted in primary colors (yellow, cyan, magenta) visible in the schoolyard.</w:t>
      </w:r>
    </w:p>
    <w:p>
      <w:pPr>
        <w:spacing w:before="40" w:after="60"/>
        <w:ind w:left="432"/>
      </w:pPr>
      <w:r>
        <w:rPr>
          <w:b/>
          <w:sz w:val="19"/>
        </w:rPr>
        <w:t xml:space="preserve">2. </w:t>
      </w:r>
      <w:r>
        <w:rPr>
          <w:rFonts w:ascii="Calibri" w:hAnsi="Calibri"/>
          <w:i/>
          <w:color w:val="1E293B"/>
          <w:sz w:val="19"/>
        </w:rPr>
        <w:t>Sports &amp; Assembly Markings:</w:t>
      </w:r>
      <w:r>
        <w:rPr>
          <w:rFonts w:ascii="Calibri" w:hAnsi="Calibri"/>
          <w:color w:val="1E293B"/>
          <w:sz w:val="19"/>
        </w:rPr>
        <w:t xml:space="preserve"> Painted asphalt line markings for basketball, volleyball, and student morning assembly formation clearly identifiable across multiple passes.</w:t>
      </w:r>
    </w:p>
    <w:p>
      <w:pPr>
        <w:spacing w:before="40" w:after="60"/>
        <w:ind w:left="432"/>
      </w:pPr>
      <w:r>
        <w:rPr>
          <w:b/>
          <w:sz w:val="19"/>
        </w:rPr>
        <w:t xml:space="preserve">3. </w:t>
      </w:r>
      <w:r>
        <w:rPr>
          <w:rFonts w:ascii="Calibri" w:hAnsi="Calibri"/>
          <w:i/>
          <w:color w:val="1E293B"/>
          <w:sz w:val="19"/>
        </w:rPr>
        <w:t>Absence of Military Features:</w:t>
      </w:r>
      <w:r>
        <w:rPr>
          <w:rFonts w:ascii="Calibri" w:hAnsi="Calibri"/>
          <w:color w:val="1E293B"/>
          <w:sz w:val="19"/>
        </w:rPr>
        <w:t xml:space="preserve"> Over the entire ten-year period, zero military vehicles, armaments, defensive fortifications, camouflage netting, or uniformed personnel were detected within the walled school compound.</w:t>
      </w:r>
    </w:p>
    <w:p>
      <w:pPr>
        <w:spacing w:before="40" w:after="60"/>
        <w:ind w:left="432"/>
      </w:pPr>
      <w:r>
        <w:rPr>
          <w:b/>
          <w:sz w:val="19"/>
        </w:rPr>
        <w:t xml:space="preserve">4. </w:t>
      </w:r>
      <w:r>
        <w:rPr>
          <w:rFonts w:ascii="Calibri" w:hAnsi="Calibri"/>
          <w:i/>
          <w:color w:val="1E293B"/>
          <w:sz w:val="19"/>
        </w:rPr>
        <w:t>Daily Attendance Cycles:</w:t>
      </w:r>
      <w:r>
        <w:rPr>
          <w:rFonts w:ascii="Calibri" w:hAnsi="Calibri"/>
          <w:color w:val="1E293B"/>
          <w:sz w:val="19"/>
        </w:rPr>
        <w:t xml:space="preserve"> Morning overflights (08:00–10:00 local time) consistently documented dense clusters of small pedestrians (children in uniform) and school transit minivans congregated outside the western gate.</w:t>
      </w:r>
    </w:p>
    <w:p>
      <w:pPr>
        <w:spacing w:before="200" w:after="60"/>
      </w:pPr>
      <w:r>
        <w:rPr>
          <w:rFonts w:ascii="Calibri" w:hAnsi="Calibri"/>
          <w:b/>
          <w:color w:val="334155"/>
          <w:sz w:val="22"/>
        </w:rPr>
        <w:t>EXH-SAT-001.4: Sub-Meter Spatial Measurements &amp; 42-Meter Vector Analysis</w:t>
      </w:r>
    </w:p>
    <w:p>
      <w:pPr>
        <w:pStyle w:val="ListBullet"/>
        <w:spacing w:before="20" w:after="40"/>
      </w:pPr>
      <w:r>
        <w:rPr>
          <w:rFonts w:ascii="Calibri" w:hAnsi="Calibri"/>
          <w:b/>
          <w:color w:val="1E293B"/>
          <w:sz w:val="19"/>
        </w:rPr>
        <w:t>Description:</w:t>
      </w:r>
      <w:r>
        <w:rPr>
          <w:rFonts w:ascii="Calibri" w:hAnsi="Calibri"/>
          <w:color w:val="1E293B"/>
          <w:sz w:val="19"/>
        </w:rPr>
        <w:t xml:space="preserve"> Orthorectified sub-meter spatial GIS analysis and laser-range cross-verification map compiled using 0.30m Maxar WorldView-3 imagery.</w:t>
      </w:r>
    </w:p>
    <w:p>
      <w:pPr>
        <w:pStyle w:val="ListBullet"/>
        <w:spacing w:before="20" w:after="40"/>
      </w:pPr>
      <w:r>
        <w:rPr>
          <w:rFonts w:ascii="Calibri" w:hAnsi="Calibri"/>
          <w:b/>
          <w:color w:val="1E293B"/>
          <w:sz w:val="19"/>
        </w:rPr>
        <w:t>Spatial Measurements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Measured Baseline Vector</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Distance</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Coordinates / Landmark</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Probative Value</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School Center to Concrete Wall</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18.4 meters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27.1352° N, 57.0805° E</w:t>
            </w:r>
            <w:r>
              <w:rPr>
                <w:rFonts w:ascii="Calibri" w:hAnsi="Calibri"/>
                <w:color w:val="1E293B"/>
                <w:sz w:val="17"/>
              </w:rPr>
              <w:t xml:space="preserve"> to Wall Boundary</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Proves intimate confinement of school within its walled parcel.</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School Main Classroom to Military Shed</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42.0 meters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School Wing to nearest IRGC Auxiliary Shed (</w:t>
            </w:r>
            <w:r>
              <w:rPr>
                <w:rFonts w:ascii="Consolas" w:hAnsi="Consolas"/>
                <w:color w:val="831843"/>
                <w:sz w:val="16"/>
              </w:rPr>
              <w:t>27.1360° N, 57.0818° E</w:t>
            </w:r>
            <w:r>
              <w:rPr>
                <w:rFonts w:ascii="Calibri" w:hAnsi="Calibri"/>
                <w:color w:val="1E293B"/>
                <w:sz w:val="17"/>
              </w:rPr>
              <w:t>)</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Establishes physical adjacency and inevitable lethal blast engulfment.</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School Gate to Naval Base Guardpost</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380.0 meters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Civilian West Gate to Military Northern Gate</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Proves total functional and vehicular segregation of civilian and military traffic.</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School Boundary Perimeter Area</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4,250 sq. m</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Enclosed parcel: 85m (north-south) x 50m (east-west)</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Accurately matches municipal cadastral registry bounds.</w:t>
            </w:r>
          </w:p>
        </w:tc>
      </w:tr>
    </w:tbl>
    <w:p>
      <w:pPr>
        <w:spacing w:after="120"/>
      </w:pPr>
    </w:p>
    <w:p>
      <w:pPr>
        <w:spacing w:before="200" w:after="60"/>
      </w:pPr>
      <w:r>
        <w:rPr>
          <w:rFonts w:ascii="Calibri" w:hAnsi="Calibri"/>
          <w:b/>
          <w:color w:val="334155"/>
          <w:sz w:val="22"/>
        </w:rPr>
        <w:t>EXH-SAT-001.5: Post-Strike Damage Assessment &amp; Structural Pancake Collapse</w:t>
      </w:r>
    </w:p>
    <w:p>
      <w:pPr>
        <w:pStyle w:val="ListBullet"/>
        <w:spacing w:before="20" w:after="40"/>
      </w:pPr>
      <w:r>
        <w:rPr>
          <w:rFonts w:ascii="Calibri" w:hAnsi="Calibri"/>
          <w:b/>
          <w:color w:val="1E293B"/>
          <w:sz w:val="19"/>
        </w:rPr>
        <w:t>Description:</w:t>
      </w:r>
      <w:r>
        <w:rPr>
          <w:rFonts w:ascii="Calibri" w:hAnsi="Calibri"/>
          <w:color w:val="1E293B"/>
          <w:sz w:val="19"/>
        </w:rPr>
        <w:t xml:space="preserve"> Post-strike satellite damage evaluation imagery captured on March 1, 2026 (Planet Labs 0.50m) and ground-level structural engineering survey.</w:t>
      </w:r>
    </w:p>
    <w:p>
      <w:pPr>
        <w:pStyle w:val="ListBullet"/>
        <w:spacing w:before="20" w:after="40"/>
      </w:pPr>
      <w:r>
        <w:rPr>
          <w:rFonts w:ascii="Calibri" w:hAnsi="Calibri"/>
          <w:b/>
          <w:color w:val="1E293B"/>
          <w:sz w:val="19"/>
        </w:rPr>
        <w:t>Factual Determination:</w:t>
      </w:r>
    </w:p>
    <w:p>
      <w:pPr>
        <w:spacing w:before="40" w:after="60"/>
        <w:ind w:left="432"/>
      </w:pPr>
      <w:r>
        <w:rPr>
          <w:b/>
          <w:sz w:val="19"/>
        </w:rPr>
        <w:t xml:space="preserve">1. </w:t>
      </w:r>
      <w:r>
        <w:rPr>
          <w:rFonts w:ascii="Calibri" w:hAnsi="Calibri"/>
          <w:color w:val="1E293B"/>
          <w:sz w:val="19"/>
        </w:rPr>
        <w:t>Total structural pancake collapse of the two-story reinforced concrete and brick classroom wing, with the upper concrete roof slab resting directly upon pulverized ground-floor foundations.</w:t>
      </w:r>
    </w:p>
    <w:p>
      <w:pPr>
        <w:spacing w:before="40" w:after="60"/>
        <w:ind w:left="432"/>
      </w:pPr>
      <w:r>
        <w:rPr>
          <w:b/>
          <w:sz w:val="19"/>
        </w:rPr>
        <w:t xml:space="preserve">2. </w:t>
      </w:r>
      <w:r>
        <w:rPr>
          <w:rFonts w:ascii="Calibri" w:hAnsi="Calibri"/>
          <w:color w:val="1E293B"/>
          <w:sz w:val="19"/>
        </w:rPr>
        <w:t xml:space="preserve">Primary kinetic detonation crater located at </w:t>
      </w:r>
      <w:r>
        <w:rPr>
          <w:rFonts w:ascii="Consolas" w:hAnsi="Consolas"/>
          <w:color w:val="831843"/>
          <w:sz w:val="18"/>
        </w:rPr>
        <w:t>27.1352° N, 57.0805° E</w:t>
      </w:r>
      <w:r>
        <w:rPr>
          <w:rFonts w:ascii="Calibri" w:hAnsi="Calibri"/>
          <w:color w:val="1E293B"/>
          <w:sz w:val="19"/>
        </w:rPr>
        <w:t xml:space="preserve">, measuring </w:t>
      </w:r>
      <w:r>
        <w:rPr>
          <w:rFonts w:ascii="Calibri" w:hAnsi="Calibri"/>
          <w:b/>
          <w:color w:val="1E293B"/>
          <w:sz w:val="19"/>
        </w:rPr>
        <w:t>6.2 meters in diameter</w:t>
      </w:r>
      <w:r>
        <w:rPr>
          <w:rFonts w:ascii="Calibri" w:hAnsi="Calibri"/>
          <w:color w:val="1E293B"/>
          <w:sz w:val="19"/>
        </w:rPr>
        <w:t xml:space="preserve"> and </w:t>
      </w:r>
      <w:r>
        <w:rPr>
          <w:rFonts w:ascii="Calibri" w:hAnsi="Calibri"/>
          <w:b/>
          <w:color w:val="1E293B"/>
          <w:sz w:val="19"/>
        </w:rPr>
        <w:t>2.8 meters in depth</w:t>
      </w:r>
      <w:r>
        <w:rPr>
          <w:rFonts w:ascii="Calibri" w:hAnsi="Calibri"/>
          <w:color w:val="1E293B"/>
          <w:sz w:val="19"/>
        </w:rPr>
        <w:t>.</w:t>
      </w:r>
    </w:p>
    <w:p>
      <w:pPr>
        <w:spacing w:before="40" w:after="60"/>
        <w:ind w:left="432"/>
      </w:pPr>
      <w:r>
        <w:rPr>
          <w:b/>
          <w:sz w:val="19"/>
        </w:rPr>
        <w:t xml:space="preserve">3. </w:t>
      </w:r>
      <w:r>
        <w:rPr>
          <w:rFonts w:ascii="Calibri" w:hAnsi="Calibri"/>
          <w:color w:val="1E293B"/>
          <w:sz w:val="19"/>
        </w:rPr>
        <w:t>Severe structural blast damage (&gt;5 psi) extending across a 75-meter radius, destroying external boundary fences and scorching the interior courtyard.</w:t>
      </w:r>
    </w:p>
    <w:p>
      <w:pPr>
        <w:spacing w:before="40" w:after="60"/>
        <w:ind w:left="432"/>
      </w:pPr>
      <w:r>
        <w:rPr>
          <w:b/>
          <w:sz w:val="19"/>
        </w:rPr>
        <w:t xml:space="preserve">4. </w:t>
      </w:r>
      <w:r>
        <w:rPr>
          <w:rFonts w:ascii="Calibri" w:hAnsi="Calibri"/>
          <w:color w:val="1E293B"/>
          <w:sz w:val="19"/>
        </w:rPr>
        <w:t xml:space="preserve">The IRGC naval warehouse 42 meters to the north suffered only superficial blast-wave window shattering, confirming that </w:t>
      </w:r>
      <w:r>
        <w:rPr>
          <w:rFonts w:ascii="Calibri" w:hAnsi="Calibri"/>
          <w:b/>
          <w:color w:val="1E293B"/>
          <w:sz w:val="19"/>
        </w:rPr>
        <w:t>the kinetic energy centered on the civilian school building</w:t>
      </w:r>
      <w:r>
        <w:rPr>
          <w:rFonts w:ascii="Calibri" w:hAnsi="Calibri"/>
          <w:color w:val="1E293B"/>
          <w:sz w:val="19"/>
        </w:rPr>
        <w:t>.</w:t>
      </w:r>
    </w:p>
    <w:p>
      <w:pPr>
        <w:spacing w:before="200" w:after="60"/>
      </w:pPr>
      <w:r>
        <w:rPr>
          <w:rFonts w:ascii="Calibri" w:hAnsi="Calibri"/>
          <w:b/>
          <w:color w:val="334155"/>
          <w:sz w:val="22"/>
        </w:rPr>
        <w:t>EXH-SAT-001.6 [RESERVED / PENDING NRO DECLASSIFICATION]: Classified Keyhole (KH-11) Overhead Reconnaissance Feeds</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STATE PRODUCTION ORDER UNDER ICTY RULE 54bis</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Unredacted electro-optical and infrared surveillance imagery captured by US National Reconnaissance Office (NRO) Keyhole (KH-11 Kennan/Crystal) reconnaissance satellites during deliberate target folder compilation (2024–2026).</w:t>
      </w:r>
    </w:p>
    <w:p>
      <w:pPr>
        <w:pStyle w:val="ListBullet"/>
        <w:spacing w:before="20" w:after="40"/>
      </w:pPr>
      <w:r>
        <w:rPr>
          <w:rFonts w:ascii="Calibri" w:hAnsi="Calibri"/>
          <w:b/>
          <w:color w:val="1E293B"/>
          <w:sz w:val="19"/>
        </w:rPr>
        <w:t>Legal Significance:</w:t>
      </w:r>
      <w:r>
        <w:rPr>
          <w:rFonts w:ascii="Calibri" w:hAnsi="Calibri"/>
          <w:color w:val="1E293B"/>
          <w:sz w:val="19"/>
        </w:rPr>
        <w:t xml:space="preserve"> Will establish the exact resolution and visual indicators available to US defense intelligence analysts prior to target nomination, demonstrating whether analysts possessed imagery clearly revealing schoolyard apparatus and children while simultaneously validating the target as a military objective.</w:t>
      </w:r>
    </w:p>
    <w:p>
      <w:pPr>
        <w:pStyle w:val="ListBullet"/>
        <w:spacing w:before="20" w:after="40"/>
      </w:pPr>
      <w:r>
        <w:rPr>
          <w:rFonts w:ascii="Calibri" w:hAnsi="Calibri"/>
          <w:b/>
          <w:color w:val="1E293B"/>
          <w:sz w:val="19"/>
        </w:rPr>
        <w:t>Target Custodian:</w:t>
      </w:r>
      <w:r>
        <w:rPr>
          <w:rFonts w:ascii="Calibri" w:hAnsi="Calibri"/>
          <w:color w:val="1E293B"/>
          <w:sz w:val="19"/>
        </w:rPr>
        <w:t xml:space="preserve"> National Reconnaissance Office (Chantilly, Virginia) / National Geospatial-Intelligence Agency (NGA, Springfield, Virginia).</w:t>
      </w:r>
    </w:p>
    <w:p>
      <w:pPr>
        <w:spacing w:before="80" w:after="80"/>
        <w:jc w:val="center"/>
      </w:pPr>
      <w:r>
        <w:rPr>
          <w:color w:val="CBD5E1"/>
        </w:rPr>
        <w:t>————————————————————————————————</w:t>
      </w:r>
    </w:p>
    <w:p>
      <w:pPr>
        <w:spacing w:before="320" w:after="80"/>
      </w:pPr>
      <w:r>
        <w:rPr>
          <w:rFonts w:ascii="Calibri" w:hAnsi="Calibri"/>
          <w:b/>
          <w:color w:val="0F172A"/>
          <w:sz w:val="30"/>
        </w:rPr>
        <w:t>EXHIBIT SERIES MUN: MUNITIONS FORENSICS, DEBRIS METALLURGY &amp; BLAST BALLISTICS</w:t>
      </w:r>
    </w:p>
    <w:p>
      <w:pPr>
        <w:spacing w:before="200" w:after="60"/>
      </w:pPr>
      <w:r>
        <w:rPr>
          <w:rFonts w:ascii="Calibri" w:hAnsi="Calibri"/>
          <w:b/>
          <w:color w:val="334155"/>
          <w:sz w:val="22"/>
        </w:rPr>
        <w:t>EXH-MUN-002.1: Physical Remnants Recovery &amp; Chain of Custody Log</w:t>
      </w:r>
    </w:p>
    <w:p>
      <w:pPr>
        <w:pStyle w:val="ListBullet"/>
        <w:spacing w:before="20" w:after="40"/>
      </w:pPr>
      <w:r>
        <w:rPr>
          <w:rFonts w:ascii="Calibri" w:hAnsi="Calibri"/>
          <w:b/>
          <w:color w:val="1E293B"/>
          <w:sz w:val="19"/>
        </w:rPr>
        <w:t>Description:</w:t>
      </w:r>
      <w:r>
        <w:rPr>
          <w:rFonts w:ascii="Calibri" w:hAnsi="Calibri"/>
          <w:color w:val="1E293B"/>
          <w:sz w:val="19"/>
        </w:rPr>
        <w:t xml:space="preserve"> Certified physical evidence collection log and photographic index of metallic munitions fragments recovered from the classroom rubble and courtyard between February 28 and March 3, 2026.</w:t>
      </w:r>
    </w:p>
    <w:p>
      <w:pPr>
        <w:pStyle w:val="ListBullet"/>
        <w:spacing w:before="20" w:after="40"/>
      </w:pPr>
      <w:r>
        <w:rPr>
          <w:rFonts w:ascii="Calibri" w:hAnsi="Calibri"/>
          <w:b/>
          <w:color w:val="1E293B"/>
          <w:sz w:val="19"/>
        </w:rPr>
        <w:t>Chain of Custody:</w:t>
      </w:r>
      <w:r>
        <w:rPr>
          <w:rFonts w:ascii="Calibri" w:hAnsi="Calibri"/>
          <w:color w:val="1E293B"/>
          <w:sz w:val="19"/>
        </w:rPr>
        <w:t xml:space="preserve"> Recovered by local civilian first responders and hospital volunteers; authenticated and photographed with scale bars and date stamps; deposited in secure physical storage with corresponding cryptographic records.</w:t>
      </w:r>
    </w:p>
    <w:p>
      <w:pPr>
        <w:spacing w:before="200" w:after="60"/>
      </w:pPr>
      <w:r>
        <w:rPr>
          <w:rFonts w:ascii="Calibri" w:hAnsi="Calibri"/>
          <w:b/>
          <w:color w:val="334155"/>
          <w:sz w:val="22"/>
        </w:rPr>
        <w:t>EXH-MUN-002.2: Serialized Avionics Circuit Boards &amp; CAGE Code Attribution</w:t>
      </w:r>
    </w:p>
    <w:p>
      <w:pPr>
        <w:pStyle w:val="ListBullet"/>
        <w:spacing w:before="20" w:after="40"/>
      </w:pPr>
      <w:r>
        <w:rPr>
          <w:rFonts w:ascii="Calibri" w:hAnsi="Calibri"/>
          <w:b/>
          <w:color w:val="1E293B"/>
          <w:sz w:val="19"/>
        </w:rPr>
        <w:t>Description:</w:t>
      </w:r>
      <w:r>
        <w:rPr>
          <w:rFonts w:ascii="Calibri" w:hAnsi="Calibri"/>
          <w:color w:val="1E293B"/>
          <w:sz w:val="19"/>
        </w:rPr>
        <w:t xml:space="preserve"> High-resolution macro photography and metallurgical examination of recovered avionics fragments from the missile guidance section.</w:t>
      </w:r>
    </w:p>
    <w:p>
      <w:pPr>
        <w:pStyle w:val="ListBullet"/>
        <w:spacing w:before="20" w:after="40"/>
      </w:pPr>
      <w:r>
        <w:rPr>
          <w:rFonts w:ascii="Calibri" w:hAnsi="Calibri"/>
          <w:b/>
          <w:color w:val="1E293B"/>
          <w:sz w:val="19"/>
        </w:rPr>
        <w:t>Factual Findings:</w:t>
      </w:r>
    </w:p>
    <w:p>
      <w:pPr>
        <w:spacing w:before="40" w:after="60"/>
        <w:ind w:left="432"/>
      </w:pPr>
      <w:r>
        <w:rPr>
          <w:b/>
          <w:sz w:val="19"/>
        </w:rPr>
        <w:t xml:space="preserve">1. </w:t>
      </w:r>
      <w:r>
        <w:rPr>
          <w:rFonts w:ascii="Calibri" w:hAnsi="Calibri"/>
          <w:color w:val="1E293B"/>
          <w:sz w:val="19"/>
        </w:rPr>
        <w:t xml:space="preserve">Fragment </w:t>
      </w:r>
      <w:r>
        <w:rPr>
          <w:rFonts w:ascii="Consolas" w:hAnsi="Consolas"/>
          <w:color w:val="831843"/>
          <w:sz w:val="18"/>
        </w:rPr>
        <w:t>EVD-MUN-002-A</w:t>
      </w:r>
      <w:r>
        <w:rPr>
          <w:rFonts w:ascii="Calibri" w:hAnsi="Calibri"/>
          <w:color w:val="1E293B"/>
          <w:sz w:val="19"/>
        </w:rPr>
        <w:t xml:space="preserve">: Fragment of a printed multi-layer circuit board exhibiting conformal coating and labeled: </w:t>
      </w:r>
      <w:r>
        <w:rPr>
          <w:rFonts w:ascii="Consolas" w:hAnsi="Consolas"/>
          <w:color w:val="831843"/>
          <w:sz w:val="18"/>
        </w:rPr>
        <w:t>ASSY 16200-6523910-1 REV D</w:t>
      </w:r>
      <w:r>
        <w:rPr>
          <w:rFonts w:ascii="Calibri" w:hAnsi="Calibri"/>
          <w:color w:val="1E293B"/>
          <w:sz w:val="19"/>
        </w:rPr>
        <w:t>.</w:t>
      </w:r>
    </w:p>
    <w:p>
      <w:pPr>
        <w:spacing w:before="40" w:after="60"/>
        <w:ind w:left="432"/>
      </w:pPr>
      <w:r>
        <w:rPr>
          <w:b/>
          <w:sz w:val="19"/>
        </w:rPr>
        <w:t xml:space="preserve">2. </w:t>
      </w:r>
      <w:r>
        <w:rPr>
          <w:rFonts w:ascii="Calibri" w:hAnsi="Calibri"/>
          <w:color w:val="1E293B"/>
          <w:sz w:val="19"/>
        </w:rPr>
        <w:t xml:space="preserve">Commercial and Government Entity (CAGE) Code </w:t>
      </w:r>
      <w:r>
        <w:rPr>
          <w:rFonts w:ascii="Consolas" w:hAnsi="Consolas"/>
          <w:color w:val="831843"/>
          <w:sz w:val="18"/>
        </w:rPr>
        <w:t>96214</w:t>
      </w:r>
      <w:r>
        <w:rPr>
          <w:rFonts w:ascii="Calibri" w:hAnsi="Calibri"/>
          <w:color w:val="1E293B"/>
          <w:sz w:val="19"/>
        </w:rPr>
        <w:t xml:space="preserve"> stamped on component chassis, identifying the manufacturer as </w:t>
      </w:r>
      <w:r>
        <w:rPr>
          <w:rFonts w:ascii="Calibri" w:hAnsi="Calibri"/>
          <w:b/>
          <w:color w:val="1E293B"/>
          <w:sz w:val="19"/>
        </w:rPr>
        <w:t>Raytheon Missile Systems</w:t>
      </w:r>
      <w:r>
        <w:rPr>
          <w:rFonts w:ascii="Calibri" w:hAnsi="Calibri"/>
          <w:color w:val="1E293B"/>
          <w:sz w:val="19"/>
        </w:rPr>
        <w:t xml:space="preserve"> (Tucson, Arizona).</w:t>
      </w:r>
    </w:p>
    <w:p>
      <w:pPr>
        <w:spacing w:before="40" w:after="60"/>
        <w:ind w:left="432"/>
      </w:pPr>
      <w:r>
        <w:rPr>
          <w:b/>
          <w:sz w:val="19"/>
        </w:rPr>
        <w:t xml:space="preserve">3. </w:t>
      </w:r>
      <w:r>
        <w:rPr>
          <w:rFonts w:ascii="Calibri" w:hAnsi="Calibri"/>
          <w:color w:val="1E293B"/>
          <w:sz w:val="19"/>
        </w:rPr>
        <w:t xml:space="preserve">Part numbering and bus architecture correspond strictly to the Digital Scene Matching Area Correlation (DSMAC) and guidance processor housing of the </w:t>
      </w:r>
      <w:r>
        <w:rPr>
          <w:rFonts w:ascii="Calibri" w:hAnsi="Calibri"/>
          <w:b/>
          <w:color w:val="1E293B"/>
          <w:sz w:val="19"/>
        </w:rPr>
        <w:t>BGM-109 Block IV/V Tomahawk Land Attack Cruise Missile</w:t>
      </w:r>
      <w:r>
        <w:rPr>
          <w:rFonts w:ascii="Calibri" w:hAnsi="Calibri"/>
          <w:color w:val="1E293B"/>
          <w:sz w:val="19"/>
        </w:rPr>
        <w:t>.</w:t>
      </w:r>
    </w:p>
    <w:p>
      <w:pPr>
        <w:spacing w:before="200" w:after="60"/>
      </w:pPr>
      <w:r>
        <w:rPr>
          <w:rFonts w:ascii="Calibri" w:hAnsi="Calibri"/>
          <w:b/>
          <w:color w:val="334155"/>
          <w:sz w:val="22"/>
        </w:rPr>
        <w:t>EXH-MUN-002.3: Williams International F107 Turbofan Engine Components</w:t>
      </w:r>
    </w:p>
    <w:p>
      <w:pPr>
        <w:pStyle w:val="ListBullet"/>
        <w:spacing w:before="20" w:after="40"/>
      </w:pPr>
      <w:r>
        <w:rPr>
          <w:rFonts w:ascii="Calibri" w:hAnsi="Calibri"/>
          <w:b/>
          <w:color w:val="1E293B"/>
          <w:sz w:val="19"/>
        </w:rPr>
        <w:t>Description:</w:t>
      </w:r>
      <w:r>
        <w:rPr>
          <w:rFonts w:ascii="Calibri" w:hAnsi="Calibri"/>
          <w:color w:val="1E293B"/>
          <w:sz w:val="19"/>
        </w:rPr>
        <w:t xml:space="preserve"> Metallurgical spectrometry and dimensional analysis of recovered turbofan engine compressor debris.</w:t>
      </w:r>
    </w:p>
    <w:p>
      <w:pPr>
        <w:pStyle w:val="ListBullet"/>
        <w:spacing w:before="20" w:after="40"/>
      </w:pPr>
      <w:r>
        <w:rPr>
          <w:rFonts w:ascii="Calibri" w:hAnsi="Calibri"/>
          <w:b/>
          <w:color w:val="1E293B"/>
          <w:sz w:val="19"/>
        </w:rPr>
        <w:t>Factual Findings:</w:t>
      </w:r>
    </w:p>
    <w:p>
      <w:pPr>
        <w:spacing w:before="40" w:after="60"/>
        <w:ind w:left="432"/>
      </w:pPr>
      <w:r>
        <w:rPr>
          <w:b/>
          <w:sz w:val="19"/>
        </w:rPr>
        <w:t xml:space="preserve">1. </w:t>
      </w:r>
      <w:r>
        <w:rPr>
          <w:rFonts w:ascii="Calibri" w:hAnsi="Calibri"/>
          <w:color w:val="1E293B"/>
          <w:sz w:val="19"/>
        </w:rPr>
        <w:t xml:space="preserve">Fragment </w:t>
      </w:r>
      <w:r>
        <w:rPr>
          <w:rFonts w:ascii="Consolas" w:hAnsi="Consolas"/>
          <w:color w:val="831843"/>
          <w:sz w:val="18"/>
        </w:rPr>
        <w:t>EVD-MUN-002-B</w:t>
      </w:r>
      <w:r>
        <w:rPr>
          <w:rFonts w:ascii="Calibri" w:hAnsi="Calibri"/>
          <w:color w:val="1E293B"/>
          <w:sz w:val="19"/>
        </w:rPr>
        <w:t>: Titanium alloy compressor rotor stage exhibiting 16 integrally bladed fan elements (</w:t>
      </w:r>
      <w:r>
        <w:rPr>
          <w:rFonts w:ascii="Calibri" w:hAnsi="Calibri"/>
          <w:i/>
          <w:color w:val="1E293B"/>
          <w:sz w:val="19"/>
        </w:rPr>
        <w:t>blisk</w:t>
      </w:r>
      <w:r>
        <w:rPr>
          <w:rFonts w:ascii="Calibri" w:hAnsi="Calibri"/>
          <w:color w:val="1E293B"/>
          <w:sz w:val="19"/>
        </w:rPr>
        <w:t>).</w:t>
      </w:r>
    </w:p>
    <w:p>
      <w:pPr>
        <w:spacing w:before="40" w:after="60"/>
        <w:ind w:left="432"/>
      </w:pPr>
      <w:r>
        <w:rPr>
          <w:b/>
          <w:sz w:val="19"/>
        </w:rPr>
        <w:t xml:space="preserve">2. </w:t>
      </w:r>
      <w:r>
        <w:rPr>
          <w:rFonts w:ascii="Calibri" w:hAnsi="Calibri"/>
          <w:color w:val="1E293B"/>
          <w:sz w:val="19"/>
        </w:rPr>
        <w:t xml:space="preserve">Alloy composition confirmed as </w:t>
      </w:r>
      <w:r>
        <w:rPr>
          <w:rFonts w:ascii="Consolas" w:hAnsi="Consolas"/>
          <w:color w:val="831843"/>
          <w:sz w:val="18"/>
        </w:rPr>
        <w:t>Ti-6Al-4V</w:t>
      </w:r>
      <w:r>
        <w:rPr>
          <w:rFonts w:ascii="Calibri" w:hAnsi="Calibri"/>
          <w:color w:val="1E293B"/>
          <w:sz w:val="19"/>
        </w:rPr>
        <w:t xml:space="preserve"> (Grade 5 titanium), standard for US military aerospace turbine subassemblies.</w:t>
      </w:r>
    </w:p>
    <w:p>
      <w:pPr>
        <w:spacing w:before="40" w:after="60"/>
        <w:ind w:left="432"/>
      </w:pPr>
      <w:r>
        <w:rPr>
          <w:b/>
          <w:sz w:val="19"/>
        </w:rPr>
        <w:t xml:space="preserve">3. </w:t>
      </w:r>
      <w:r>
        <w:rPr>
          <w:rFonts w:ascii="Calibri" w:hAnsi="Calibri"/>
          <w:color w:val="1E293B"/>
          <w:sz w:val="19"/>
        </w:rPr>
        <w:t xml:space="preserve">Geometric dimensions and blade pitch match exclusively with the </w:t>
      </w:r>
      <w:r>
        <w:rPr>
          <w:rFonts w:ascii="Calibri" w:hAnsi="Calibri"/>
          <w:b/>
          <w:color w:val="1E293B"/>
          <w:sz w:val="19"/>
        </w:rPr>
        <w:t>Williams International F107-WR-402 turbofan engine</w:t>
      </w:r>
      <w:r>
        <w:rPr>
          <w:rFonts w:ascii="Calibri" w:hAnsi="Calibri"/>
          <w:color w:val="1E293B"/>
          <w:sz w:val="19"/>
        </w:rPr>
        <w:t>, the dedicated power plant of the US Navy BGM-109 Tomahawk cruise missile.</w:t>
      </w:r>
    </w:p>
    <w:p>
      <w:pPr>
        <w:spacing w:before="200" w:after="60"/>
      </w:pPr>
      <w:r>
        <w:rPr>
          <w:rFonts w:ascii="Calibri" w:hAnsi="Calibri"/>
          <w:b/>
          <w:color w:val="334155"/>
          <w:sz w:val="22"/>
        </w:rPr>
        <w:t>EXH-MUN-002.4: WDU-36/B Warhead Blast Mechanics &amp; Hydrodynamic Modeling</w:t>
      </w:r>
    </w:p>
    <w:p>
      <w:pPr>
        <w:pStyle w:val="ListBullet"/>
        <w:spacing w:before="20" w:after="40"/>
      </w:pPr>
      <w:r>
        <w:rPr>
          <w:rFonts w:ascii="Calibri" w:hAnsi="Calibri"/>
          <w:b/>
          <w:color w:val="1E293B"/>
          <w:sz w:val="19"/>
        </w:rPr>
        <w:t>Description:</w:t>
      </w:r>
      <w:r>
        <w:rPr>
          <w:rFonts w:ascii="Calibri" w:hAnsi="Calibri"/>
          <w:color w:val="1E293B"/>
          <w:sz w:val="19"/>
        </w:rPr>
        <w:t xml:space="preserve"> Computer-assisted blast hydrodynamic simulation using naval surface weapon physics models.</w:t>
      </w:r>
    </w:p>
    <w:p>
      <w:pPr>
        <w:pStyle w:val="ListBullet"/>
        <w:spacing w:before="20" w:after="40"/>
      </w:pPr>
      <w:r>
        <w:rPr>
          <w:rFonts w:ascii="Calibri" w:hAnsi="Calibri"/>
          <w:b/>
          <w:color w:val="1E293B"/>
          <w:sz w:val="19"/>
        </w:rPr>
        <w:t>Warhead Specifications:</w:t>
      </w:r>
    </w:p>
    <w:p>
      <w:pPr>
        <w:pStyle w:val="ListBullet"/>
        <w:spacing w:before="20" w:after="40"/>
        <w:ind w:left="576"/>
      </w:pPr>
      <w:r>
        <w:rPr>
          <w:rFonts w:ascii="Calibri" w:hAnsi="Calibri"/>
          <w:b/>
          <w:color w:val="1E293B"/>
          <w:sz w:val="19"/>
        </w:rPr>
        <w:t>Designation:</w:t>
      </w:r>
      <w:r>
        <w:rPr>
          <w:rFonts w:ascii="Calibri" w:hAnsi="Calibri"/>
          <w:color w:val="1E293B"/>
          <w:sz w:val="19"/>
        </w:rPr>
        <w:t xml:space="preserve"> WDU-36/B unitary blast-fragmentation warhead;</w:t>
      </w:r>
    </w:p>
    <w:p>
      <w:pPr>
        <w:pStyle w:val="ListBullet"/>
        <w:spacing w:before="20" w:after="40"/>
        <w:ind w:left="576"/>
      </w:pPr>
      <w:r>
        <w:rPr>
          <w:rFonts w:ascii="Calibri" w:hAnsi="Calibri"/>
          <w:b/>
          <w:color w:val="1E293B"/>
          <w:sz w:val="19"/>
        </w:rPr>
        <w:t>Total Weight:</w:t>
      </w:r>
      <w:r>
        <w:rPr>
          <w:rFonts w:ascii="Calibri" w:hAnsi="Calibri"/>
          <w:color w:val="1E293B"/>
          <w:sz w:val="19"/>
        </w:rPr>
        <w:t xml:space="preserve"> 1,000 pounds (454 kg);</w:t>
      </w:r>
    </w:p>
    <w:p>
      <w:pPr>
        <w:pStyle w:val="ListBullet"/>
        <w:spacing w:before="20" w:after="40"/>
        <w:ind w:left="576"/>
      </w:pPr>
      <w:r>
        <w:rPr>
          <w:rFonts w:ascii="Calibri" w:hAnsi="Calibri"/>
          <w:b/>
          <w:color w:val="1E293B"/>
          <w:sz w:val="19"/>
        </w:rPr>
        <w:t>Explosive Fill:</w:t>
      </w:r>
      <w:r>
        <w:rPr>
          <w:rFonts w:ascii="Calibri" w:hAnsi="Calibri"/>
          <w:color w:val="1E293B"/>
          <w:sz w:val="19"/>
        </w:rPr>
        <w:t xml:space="preserve"> PBXN-107 (High-density polymer-bonded explosive, 1.25 TNT equivalency);</w:t>
      </w:r>
    </w:p>
    <w:p>
      <w:pPr>
        <w:pStyle w:val="ListBullet"/>
        <w:spacing w:before="20" w:after="40"/>
        <w:ind w:left="576"/>
      </w:pPr>
      <w:r>
        <w:rPr>
          <w:rFonts w:ascii="Calibri" w:hAnsi="Calibri"/>
          <w:b/>
          <w:color w:val="1E293B"/>
          <w:sz w:val="19"/>
        </w:rPr>
        <w:t>Casing:</w:t>
      </w:r>
      <w:r>
        <w:rPr>
          <w:rFonts w:ascii="Calibri" w:hAnsi="Calibri"/>
          <w:color w:val="1E293B"/>
          <w:sz w:val="19"/>
        </w:rPr>
        <w:t xml:space="preserve"> Prefabricated scored titanium-alloy casing producing high-velocity fragments.</w:t>
      </w:r>
    </w:p>
    <w:p>
      <w:pPr>
        <w:pStyle w:val="ListBullet"/>
        <w:spacing w:before="20" w:after="40"/>
      </w:pPr>
      <w:r>
        <w:rPr>
          <w:rFonts w:ascii="Calibri" w:hAnsi="Calibri"/>
          <w:b/>
          <w:color w:val="1E293B"/>
          <w:sz w:val="19"/>
        </w:rPr>
        <w:t>Hydrodynamic Overpressure Propagation Findings:</w:t>
      </w:r>
    </w:p>
    <w:p>
      <w:pPr>
        <w:spacing w:before="40" w:after="80" w:line="276" w:lineRule="auto"/>
      </w:pPr>
      <w:r>
        <w:rPr>
          <w:rFonts w:ascii="Consolas" w:hAnsi="Consolas"/>
          <w:color w:val="831843"/>
          <w:sz w:val="19"/>
        </w:rPr>
      </w:r>
      <w:r>
        <w:rPr>
          <w:rFonts w:ascii="Calibri" w:hAnsi="Calibri"/>
          <w:color w:val="1E293B"/>
          <w:sz w:val="20"/>
        </w:rPr>
        <w:t>`</w:t>
      </w:r>
    </w:p>
    <w:p>
      <w:pPr>
        <w:spacing w:before="40" w:after="80" w:line="276" w:lineRule="auto"/>
      </w:pPr>
      <w:r>
        <w:rPr>
          <w:rFonts w:ascii="Calibri" w:hAnsi="Calibri"/>
          <w:color w:val="1E293B"/>
          <w:sz w:val="20"/>
        </w:rPr>
        <w:t>Distance from Detonation | Peak Overpressure (psi) | Structural &amp; Biological Effect</w:t>
      </w:r>
    </w:p>
    <w:p>
      <w:pPr>
        <w:spacing w:before="40" w:after="80" w:line="276" w:lineRule="auto"/>
      </w:pPr>
      <w:r>
        <w:rPr>
          <w:rFonts w:ascii="Calibri" w:hAnsi="Calibri"/>
          <w:color w:val="1E293B"/>
          <w:sz w:val="20"/>
        </w:rPr>
        <w:t>-------------------------+-------------------------+---------------------------------------------------</w:t>
      </w:r>
    </w:p>
    <w:p>
      <w:pPr>
        <w:spacing w:before="40" w:after="80" w:line="276" w:lineRule="auto"/>
      </w:pPr>
      <w:r>
        <w:rPr>
          <w:rFonts w:ascii="Calibri" w:hAnsi="Calibri"/>
          <w:color w:val="1E293B"/>
          <w:sz w:val="20"/>
        </w:rPr>
        <w:t>10 meters                | &gt; 150 psi               | Total vaporization; complete obliteration of matter</w:t>
      </w:r>
    </w:p>
    <w:p>
      <w:pPr>
        <w:spacing w:before="40" w:after="80" w:line="276" w:lineRule="auto"/>
      </w:pPr>
      <w:r>
        <w:rPr>
          <w:rFonts w:ascii="Calibri" w:hAnsi="Calibri"/>
          <w:color w:val="1E293B"/>
          <w:sz w:val="20"/>
        </w:rPr>
        <w:t>25 meters                | &gt; 50 psi                | Catastrophic destruction of heavy concrete bunkers</w:t>
      </w:r>
    </w:p>
    <w:p>
      <w:pPr>
        <w:spacing w:before="40" w:after="80" w:line="276" w:lineRule="auto"/>
      </w:pPr>
      <w:r>
        <w:rPr>
          <w:rFonts w:ascii="Calibri" w:hAnsi="Calibri"/>
          <w:color w:val="1E293B"/>
          <w:sz w:val="20"/>
        </w:rPr>
        <w:t>42 meters (School Wing)  | 18–24 psi               | 100% pancake collapse of reinforced masonry floors</w:t>
      </w:r>
    </w:p>
    <w:p>
      <w:pPr>
        <w:spacing w:before="40" w:after="80" w:line="276" w:lineRule="auto"/>
      </w:pPr>
      <w:r>
        <w:rPr>
          <w:rFonts w:ascii="Calibri" w:hAnsi="Calibri"/>
          <w:color w:val="1E293B"/>
          <w:sz w:val="20"/>
        </w:rPr>
        <w:t>65 meters                | 5–8 psi                 | Complete destruction of residential walls, fatal lung trauma</w:t>
      </w:r>
    </w:p>
    <w:p>
      <w:pPr>
        <w:spacing w:before="40" w:after="80" w:line="276" w:lineRule="auto"/>
      </w:pPr>
      <w:r>
        <w:rPr>
          <w:rFonts w:ascii="Calibri" w:hAnsi="Calibri"/>
          <w:color w:val="1E293B"/>
          <w:sz w:val="20"/>
        </w:rPr>
        <w:t>120 meters               | 2–3 psi                 | Severe eardrum rupture, flying debris lacerations</w:t>
      </w:r>
    </w:p>
    <w:p>
      <w:pPr>
        <w:spacing w:before="40" w:after="80" w:line="276" w:lineRule="auto"/>
      </w:pPr>
      <w:r>
        <w:rPr>
          <w:rFonts w:ascii="Calibri" w:hAnsi="Calibri"/>
          <w:color w:val="1E293B"/>
          <w:sz w:val="20"/>
        </w:rPr>
        <w:t>400 meters               | &lt; 1 psi (high fragment) | Lethal fragmentation trajectory (penetrating shrapnel)</w:t>
      </w:r>
    </w:p>
    <w:p>
      <w:pPr>
        <w:spacing w:before="40" w:after="80" w:line="276" w:lineRule="auto"/>
      </w:pPr>
      <w:r>
        <w:rPr>
          <w:rFonts w:ascii="Consolas" w:hAnsi="Consolas"/>
          <w:color w:val="831843"/>
          <w:sz w:val="19"/>
        </w:rPr>
      </w:r>
      <w:r>
        <w:rPr>
          <w:rFonts w:ascii="Calibri" w:hAnsi="Calibri"/>
          <w:color w:val="1E293B"/>
          <w:sz w:val="20"/>
        </w:rPr>
        <w:t>`</w:t>
      </w:r>
    </w:p>
    <w:p>
      <w:pPr>
        <w:spacing w:before="200" w:after="60"/>
      </w:pPr>
      <w:r>
        <w:rPr>
          <w:rFonts w:ascii="Calibri" w:hAnsi="Calibri"/>
          <w:b/>
          <w:color w:val="334155"/>
          <w:sz w:val="22"/>
        </w:rPr>
        <w:t>EXH-MUN-002.5: Seismic Telemetry &amp; Triple-Tap Chronological Logging</w:t>
      </w:r>
    </w:p>
    <w:p>
      <w:pPr>
        <w:pStyle w:val="ListBullet"/>
        <w:spacing w:before="20" w:after="40"/>
      </w:pPr>
      <w:r>
        <w:rPr>
          <w:rFonts w:ascii="Calibri" w:hAnsi="Calibri"/>
          <w:b/>
          <w:color w:val="1E293B"/>
          <w:sz w:val="19"/>
        </w:rPr>
        <w:t>Description:</w:t>
      </w:r>
      <w:r>
        <w:rPr>
          <w:rFonts w:ascii="Calibri" w:hAnsi="Calibri"/>
          <w:color w:val="1E293B"/>
          <w:sz w:val="19"/>
        </w:rPr>
        <w:t xml:space="preserve"> Calibrated seismic shockwave telemetry recorded by the Iranian Seismological Center (IRSC) Minab broadband monitoring station (Station ID: </w:t>
      </w:r>
      <w:r>
        <w:rPr>
          <w:rFonts w:ascii="Consolas" w:hAnsi="Consolas"/>
          <w:color w:val="831843"/>
          <w:sz w:val="18"/>
        </w:rPr>
        <w:t>MNB</w:t>
      </w:r>
      <w:r>
        <w:rPr>
          <w:rFonts w:ascii="Calibri" w:hAnsi="Calibri"/>
          <w:color w:val="1E293B"/>
          <w:sz w:val="19"/>
        </w:rPr>
        <w:t>), cross-referenced with acoustic timestamps from verified bystander video footage.</w:t>
      </w:r>
    </w:p>
    <w:p>
      <w:pPr>
        <w:pStyle w:val="ListBullet"/>
        <w:spacing w:before="20" w:after="40"/>
      </w:pPr>
      <w:r>
        <w:rPr>
          <w:rFonts w:ascii="Calibri" w:hAnsi="Calibri"/>
          <w:b/>
          <w:color w:val="1E293B"/>
          <w:sz w:val="19"/>
        </w:rPr>
        <w:t>Chronological Strike Log (February 28, 2026):</w:t>
      </w:r>
    </w:p>
    <w:p>
      <w:pPr>
        <w:spacing w:before="40" w:after="60"/>
        <w:ind w:left="432"/>
      </w:pPr>
      <w:r>
        <w:rPr>
          <w:b/>
          <w:sz w:val="19"/>
        </w:rPr>
        <w:t xml:space="preserve">1. </w:t>
      </w:r>
      <w:r>
        <w:rPr>
          <w:rFonts w:ascii="Calibri" w:hAnsi="Calibri"/>
          <w:b/>
          <w:color w:val="1E293B"/>
          <w:sz w:val="19"/>
        </w:rPr>
        <w:t>Impact 1:</w:t>
      </w:r>
      <w:r>
        <w:rPr>
          <w:rFonts w:ascii="Calibri" w:hAnsi="Calibri"/>
          <w:color w:val="1E293B"/>
          <w:sz w:val="19"/>
        </w:rPr>
        <w:t xml:space="preserve"> </w:t>
      </w:r>
      <w:r>
        <w:rPr>
          <w:rFonts w:ascii="Consolas" w:hAnsi="Consolas"/>
          <w:color w:val="831843"/>
          <w:sz w:val="18"/>
        </w:rPr>
        <w:t>09:22:15 IRST</w:t>
      </w:r>
      <w:r>
        <w:rPr>
          <w:rFonts w:ascii="Calibri" w:hAnsi="Calibri"/>
          <w:color w:val="1E293B"/>
          <w:sz w:val="19"/>
        </w:rPr>
        <w:t xml:space="preserve"> (Local Time) — Local magnitude equivalent $M_L = 0.82$; primary detonation inside 2nd-floor classroom slab.</w:t>
      </w:r>
    </w:p>
    <w:p>
      <w:pPr>
        <w:spacing w:before="40" w:after="60"/>
        <w:ind w:left="432"/>
      </w:pPr>
      <w:r>
        <w:rPr>
          <w:b/>
          <w:sz w:val="19"/>
        </w:rPr>
        <w:t xml:space="preserve">2. </w:t>
      </w:r>
      <w:r>
        <w:rPr>
          <w:rFonts w:ascii="Calibri" w:hAnsi="Calibri"/>
          <w:b/>
          <w:color w:val="1E293B"/>
          <w:sz w:val="19"/>
        </w:rPr>
        <w:t>Impact 2:</w:t>
      </w:r>
      <w:r>
        <w:rPr>
          <w:rFonts w:ascii="Calibri" w:hAnsi="Calibri"/>
          <w:color w:val="1E293B"/>
          <w:sz w:val="19"/>
        </w:rPr>
        <w:t xml:space="preserve"> </w:t>
      </w:r>
      <w:r>
        <w:rPr>
          <w:rFonts w:ascii="Consolas" w:hAnsi="Consolas"/>
          <w:color w:val="831843"/>
          <w:sz w:val="18"/>
        </w:rPr>
        <w:t>09:24:30 IRST</w:t>
      </w:r>
      <w:r>
        <w:rPr>
          <w:rFonts w:ascii="Calibri" w:hAnsi="Calibri"/>
          <w:color w:val="1E293B"/>
          <w:sz w:val="19"/>
        </w:rPr>
        <w:t xml:space="preserve"> (Local Time, $\Delta t = 135\text{s}$) — Local magnitude equivalent $M_L = 0.79$; detonation on western exit stairwell.</w:t>
      </w:r>
    </w:p>
    <w:p>
      <w:pPr>
        <w:spacing w:before="40" w:after="60"/>
        <w:ind w:left="432"/>
      </w:pPr>
      <w:r>
        <w:rPr>
          <w:b/>
          <w:sz w:val="19"/>
        </w:rPr>
        <w:t xml:space="preserve">3. </w:t>
      </w:r>
      <w:r>
        <w:rPr>
          <w:rFonts w:ascii="Calibri" w:hAnsi="Calibri"/>
          <w:b/>
          <w:color w:val="1E293B"/>
          <w:sz w:val="19"/>
        </w:rPr>
        <w:t>Impact 3:</w:t>
      </w:r>
      <w:r>
        <w:rPr>
          <w:rFonts w:ascii="Calibri" w:hAnsi="Calibri"/>
          <w:color w:val="1E293B"/>
          <w:sz w:val="19"/>
        </w:rPr>
        <w:t xml:space="preserve"> </w:t>
      </w:r>
      <w:r>
        <w:rPr>
          <w:rFonts w:ascii="Consolas" w:hAnsi="Consolas"/>
          <w:color w:val="831843"/>
          <w:sz w:val="18"/>
        </w:rPr>
        <w:t>09:26:40 IRST</w:t>
      </w:r>
      <w:r>
        <w:rPr>
          <w:rFonts w:ascii="Calibri" w:hAnsi="Calibri"/>
          <w:color w:val="1E293B"/>
          <w:sz w:val="19"/>
        </w:rPr>
        <w:t xml:space="preserve"> (Local Time, $\Delta t = 130\text{s}$) — Local magnitude equivalent $M_L = 0.81$; detonation in open central courtyard.</w:t>
      </w:r>
    </w:p>
    <w:p>
      <w:pPr>
        <w:spacing w:before="200" w:after="60"/>
      </w:pPr>
      <w:r>
        <w:rPr>
          <w:rFonts w:ascii="Calibri" w:hAnsi="Calibri"/>
          <w:b/>
          <w:color w:val="334155"/>
          <w:sz w:val="22"/>
        </w:rPr>
        <w:t>EXH-MUN-002.6 [RESERVED / PENDING SUBPOENA]: BGM-109 Block IV/V Satellite Telemetry &amp; DSMAC Video Stream</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JUDICIAL SUBPOENA &amp; DISCOVERY REQUEST</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Two-way Ultra-High Frequency (UHF) satellite data-link logs, weapon in-flight health monitoring packets, and the terminal optical video downlink stream transmitted by the three Tomahawk missiles back to the Strike Operations Center (SOC) aboard the USS </w:t>
      </w:r>
      <w:r>
        <w:rPr>
          <w:rFonts w:ascii="Calibri" w:hAnsi="Calibri"/>
          <w:i/>
          <w:color w:val="1E293B"/>
          <w:sz w:val="19"/>
        </w:rPr>
        <w:t>Abraham Lincoln</w:t>
      </w:r>
      <w:r>
        <w:rPr>
          <w:rFonts w:ascii="Calibri" w:hAnsi="Calibri"/>
          <w:color w:val="1E293B"/>
          <w:sz w:val="19"/>
        </w:rPr>
        <w:t xml:space="preserve"> prior to impact.</w:t>
      </w:r>
    </w:p>
    <w:p>
      <w:pPr>
        <w:pStyle w:val="ListBullet"/>
        <w:spacing w:before="20" w:after="40"/>
      </w:pPr>
      <w:r>
        <w:rPr>
          <w:rFonts w:ascii="Calibri" w:hAnsi="Calibri"/>
          <w:b/>
          <w:color w:val="1E293B"/>
          <w:sz w:val="19"/>
        </w:rPr>
        <w:t>Legal Significance:</w:t>
      </w:r>
      <w:r>
        <w:rPr>
          <w:rFonts w:ascii="Calibri" w:hAnsi="Calibri"/>
          <w:color w:val="1E293B"/>
          <w:sz w:val="19"/>
        </w:rPr>
        <w:t xml:space="preserve"> The Block IV/V Tomahawk transmits real-time optical frames back to command controllers during its terminal phase. This stream will provide definitive, unassailable proof of exactly what scene was displayed to human controllers before detonation, proving whether strike controllers watched the school playground and failed to activate the satellite abort command.</w:t>
      </w:r>
    </w:p>
    <w:p>
      <w:pPr>
        <w:pStyle w:val="ListBullet"/>
        <w:spacing w:before="20" w:after="40"/>
      </w:pPr>
      <w:r>
        <w:rPr>
          <w:rFonts w:ascii="Calibri" w:hAnsi="Calibri"/>
          <w:b/>
          <w:color w:val="1E293B"/>
          <w:sz w:val="19"/>
        </w:rPr>
        <w:t>Target Custodian:</w:t>
      </w:r>
      <w:r>
        <w:rPr>
          <w:rFonts w:ascii="Calibri" w:hAnsi="Calibri"/>
          <w:color w:val="1E293B"/>
          <w:sz w:val="19"/>
        </w:rPr>
        <w:t xml:space="preserve"> Program Executive Office, Strike Weapons (PEO(U&amp;W)) / Naval Air Systems Command (NAVAIR, Patuxent River, Maryland).</w:t>
      </w:r>
    </w:p>
    <w:p>
      <w:pPr>
        <w:spacing w:before="200" w:after="60"/>
      </w:pPr>
      <w:r>
        <w:rPr>
          <w:rFonts w:ascii="Calibri" w:hAnsi="Calibri"/>
          <w:b/>
          <w:color w:val="334155"/>
          <w:sz w:val="22"/>
        </w:rPr>
        <w:t>EXH-MUN-002.7 [RESERVED / PENDING LAB SPECTROMETRY]: Independent Laboratory Soil Core Chemical Spectrometry</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UNDER LABORATORY ANALYSIS IN EUROPE</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Gas Chromatography-Mass Spectrometry (GC-MS) and High-Performance Liquid Chromatography (HPLC) analytical reports from sealed soil core samples extracted from the crater bed.</w:t>
      </w:r>
    </w:p>
    <w:p>
      <w:pPr>
        <w:pStyle w:val="ListBullet"/>
        <w:spacing w:before="20" w:after="40"/>
      </w:pPr>
      <w:r>
        <w:rPr>
          <w:rFonts w:ascii="Calibri" w:hAnsi="Calibri"/>
          <w:b/>
          <w:color w:val="1E293B"/>
          <w:sz w:val="19"/>
        </w:rPr>
        <w:t>Legal Significance:</w:t>
      </w:r>
      <w:r>
        <w:rPr>
          <w:rFonts w:ascii="Calibri" w:hAnsi="Calibri"/>
          <w:color w:val="1E293B"/>
          <w:sz w:val="19"/>
        </w:rPr>
        <w:t xml:space="preserve"> Independent verification of trace organic explosive residues, specifically identifying 1,3,5,7-tetranitro-1,3,5,7-diazacyclooctane (HMX) bound within polyacrylate binders unique to the proprietary US military explosive formulation </w:t>
      </w:r>
      <w:r>
        <w:rPr>
          <w:rFonts w:ascii="Calibri" w:hAnsi="Calibri"/>
          <w:b/>
          <w:color w:val="1E293B"/>
          <w:sz w:val="19"/>
        </w:rPr>
        <w:t>PBXN-107</w:t>
      </w:r>
      <w:r>
        <w:rPr>
          <w:rFonts w:ascii="Calibri" w:hAnsi="Calibri"/>
          <w:color w:val="1E293B"/>
          <w:sz w:val="19"/>
        </w:rPr>
        <w:t>.</w:t>
      </w:r>
    </w:p>
    <w:p>
      <w:pPr>
        <w:pStyle w:val="ListBullet"/>
        <w:spacing w:before="20" w:after="40"/>
      </w:pPr>
      <w:r>
        <w:rPr>
          <w:rFonts w:ascii="Calibri" w:hAnsi="Calibri"/>
          <w:b/>
          <w:color w:val="1E293B"/>
          <w:sz w:val="19"/>
        </w:rPr>
        <w:t>Target Custodian:</w:t>
      </w:r>
      <w:r>
        <w:rPr>
          <w:rFonts w:ascii="Calibri" w:hAnsi="Calibri"/>
          <w:color w:val="1E293B"/>
          <w:sz w:val="19"/>
        </w:rPr>
        <w:t xml:space="preserve"> Certified Independent European Forensic Chemistry Laboratory (Helsinki, Finland).</w:t>
      </w:r>
    </w:p>
    <w:p>
      <w:pPr>
        <w:spacing w:before="80" w:after="80"/>
        <w:jc w:val="center"/>
      </w:pPr>
      <w:r>
        <w:rPr>
          <w:color w:val="CBD5E1"/>
        </w:rPr>
        <w:t>————————————————————————————————</w:t>
      </w:r>
    </w:p>
    <w:p>
      <w:pPr>
        <w:spacing w:before="320" w:after="80"/>
      </w:pPr>
      <w:r>
        <w:rPr>
          <w:rFonts w:ascii="Calibri" w:hAnsi="Calibri"/>
          <w:b/>
          <w:color w:val="0F172A"/>
          <w:sz w:val="30"/>
        </w:rPr>
        <w:t>EXHIBIT SERIES LAUNCH: TRAJECTORY TELEMETRY, RADAR TRACKS &amp; LAUNCH ATTRIBUTION</w:t>
      </w:r>
    </w:p>
    <w:p>
      <w:pPr>
        <w:spacing w:before="200" w:after="60"/>
      </w:pPr>
      <w:r>
        <w:rPr>
          <w:rFonts w:ascii="Calibri" w:hAnsi="Calibri"/>
          <w:b/>
          <w:color w:val="334155"/>
          <w:sz w:val="22"/>
        </w:rPr>
        <w:t>EXH-LAUNCH-003.1: Air Defense Ingress Radar Vectors &amp; Flight Profile</w:t>
      </w:r>
    </w:p>
    <w:p>
      <w:pPr>
        <w:pStyle w:val="ListBullet"/>
        <w:spacing w:before="20" w:after="40"/>
      </w:pPr>
      <w:r>
        <w:rPr>
          <w:rFonts w:ascii="Calibri" w:hAnsi="Calibri"/>
          <w:b/>
          <w:color w:val="1E293B"/>
          <w:sz w:val="19"/>
        </w:rPr>
        <w:t>Description:</w:t>
      </w:r>
      <w:r>
        <w:rPr>
          <w:rFonts w:ascii="Calibri" w:hAnsi="Calibri"/>
          <w:color w:val="1E293B"/>
          <w:sz w:val="19"/>
        </w:rPr>
        <w:t xml:space="preserve"> Open-source regional airspace radar monitoring logs, ADS-B transponder de-confliction records, and regional air defense tracking feeds.</w:t>
      </w:r>
    </w:p>
    <w:p>
      <w:pPr>
        <w:pStyle w:val="ListBullet"/>
        <w:spacing w:before="20" w:after="40"/>
      </w:pPr>
      <w:r>
        <w:rPr>
          <w:rFonts w:ascii="Calibri" w:hAnsi="Calibri"/>
          <w:b/>
          <w:color w:val="1E293B"/>
          <w:sz w:val="19"/>
        </w:rPr>
        <w:t>Factual Findings:</w:t>
      </w:r>
    </w:p>
    <w:p>
      <w:pPr>
        <w:spacing w:before="40" w:after="60"/>
        <w:ind w:left="432"/>
      </w:pPr>
      <w:r>
        <w:rPr>
          <w:b/>
          <w:sz w:val="19"/>
        </w:rPr>
        <w:t xml:space="preserve">1. </w:t>
      </w:r>
      <w:r>
        <w:rPr>
          <w:rFonts w:ascii="Calibri" w:hAnsi="Calibri"/>
          <w:color w:val="1E293B"/>
          <w:sz w:val="19"/>
        </w:rPr>
        <w:t>Reconstructed flight vector demonstrates low-altitude terrain-following ingress (altitude 30–50 meters AGL) entering Iranian airspace from the Gulf of Oman maritime sector.</w:t>
      </w:r>
    </w:p>
    <w:p>
      <w:pPr>
        <w:spacing w:before="40" w:after="60"/>
        <w:ind w:left="432"/>
      </w:pPr>
      <w:r>
        <w:rPr>
          <w:b/>
          <w:sz w:val="19"/>
        </w:rPr>
        <w:t xml:space="preserve">2. </w:t>
      </w:r>
      <w:r>
        <w:rPr>
          <w:rFonts w:ascii="Calibri" w:hAnsi="Calibri"/>
          <w:color w:val="1E293B"/>
          <w:sz w:val="19"/>
        </w:rPr>
        <w:t>Sub-sonic cruise speed maintained at Mach 0.72 (~880 km/h), consistent with Tomahawk flight parameters.</w:t>
      </w:r>
    </w:p>
    <w:p>
      <w:pPr>
        <w:spacing w:before="40" w:after="60"/>
        <w:ind w:left="432"/>
      </w:pPr>
      <w:r>
        <w:rPr>
          <w:b/>
          <w:sz w:val="19"/>
        </w:rPr>
        <w:t xml:space="preserve">3. </w:t>
      </w:r>
      <w:r>
        <w:rPr>
          <w:rFonts w:ascii="Calibri" w:hAnsi="Calibri"/>
          <w:color w:val="1E293B"/>
          <w:sz w:val="19"/>
        </w:rPr>
        <w:t>Ingress azimuth heading: $018^\circ$ True North, tracing an origin point approximately 300 km south-southwest in international waters of the Gulf of Oman.</w:t>
      </w:r>
    </w:p>
    <w:p>
      <w:pPr>
        <w:spacing w:before="200" w:after="60"/>
      </w:pPr>
      <w:r>
        <w:rPr>
          <w:rFonts w:ascii="Calibri" w:hAnsi="Calibri"/>
          <w:b/>
          <w:color w:val="334155"/>
          <w:sz w:val="22"/>
        </w:rPr>
        <w:t>EXH-LAUNCH-003.2: United States Force Allocation Maps (Operation Epic Fury)</w:t>
      </w:r>
    </w:p>
    <w:p>
      <w:pPr>
        <w:pStyle w:val="ListBullet"/>
        <w:spacing w:before="20" w:after="40"/>
      </w:pPr>
      <w:r>
        <w:rPr>
          <w:rFonts w:ascii="Calibri" w:hAnsi="Calibri"/>
          <w:b/>
          <w:color w:val="1E293B"/>
          <w:sz w:val="19"/>
        </w:rPr>
        <w:t>Description:</w:t>
      </w:r>
      <w:r>
        <w:rPr>
          <w:rFonts w:ascii="Calibri" w:hAnsi="Calibri"/>
          <w:color w:val="1E293B"/>
          <w:sz w:val="19"/>
        </w:rPr>
        <w:t xml:space="preserve"> Declassified and publicly disclosed US Department of Defense Force Allocation Maps for the opening phase of "Operation Epic Fury" (February 28, 2026).</w:t>
      </w:r>
    </w:p>
    <w:p>
      <w:pPr>
        <w:pStyle w:val="ListBullet"/>
        <w:spacing w:before="20" w:after="40"/>
      </w:pPr>
      <w:r>
        <w:rPr>
          <w:rFonts w:ascii="Calibri" w:hAnsi="Calibri"/>
          <w:b/>
          <w:color w:val="1E293B"/>
          <w:sz w:val="19"/>
        </w:rPr>
        <w:t>Factual Findings:</w:t>
      </w:r>
    </w:p>
    <w:p>
      <w:pPr>
        <w:spacing w:before="40" w:after="60"/>
        <w:ind w:left="432"/>
      </w:pPr>
      <w:r>
        <w:rPr>
          <w:b/>
          <w:sz w:val="19"/>
        </w:rPr>
        <w:t xml:space="preserve">1. </w:t>
      </w:r>
      <w:r>
        <w:rPr>
          <w:rFonts w:ascii="Calibri" w:hAnsi="Calibri"/>
          <w:color w:val="1E293B"/>
          <w:sz w:val="19"/>
        </w:rPr>
        <w:t xml:space="preserve">Under Joint Forces Air Component Commander (JFACC) tasking orders, the southern Iranian coastal sector, including Hormozgan Province, the Strait of Hormuz, and Minab, was assigned </w:t>
      </w:r>
      <w:r>
        <w:rPr>
          <w:rFonts w:ascii="Calibri" w:hAnsi="Calibri"/>
          <w:b/>
          <w:color w:val="1E293B"/>
          <w:sz w:val="19"/>
        </w:rPr>
        <w:t>exclusively to US Naval Forces Central Command (NAVCENT)</w:t>
      </w:r>
      <w:r>
        <w:rPr>
          <w:rFonts w:ascii="Calibri" w:hAnsi="Calibri"/>
          <w:color w:val="1E293B"/>
          <w:sz w:val="19"/>
        </w:rPr>
        <w:t>.</w:t>
      </w:r>
    </w:p>
    <w:p>
      <w:pPr>
        <w:spacing w:before="40" w:after="60"/>
        <w:ind w:left="432"/>
      </w:pPr>
      <w:r>
        <w:rPr>
          <w:b/>
          <w:sz w:val="19"/>
        </w:rPr>
        <w:t xml:space="preserve">2. </w:t>
      </w:r>
      <w:r>
        <w:rPr>
          <w:rFonts w:ascii="Calibri" w:hAnsi="Calibri"/>
          <w:color w:val="1E293B"/>
          <w:sz w:val="19"/>
        </w:rPr>
        <w:t>Allied or regional partner forces (such as the Israeli Air Force) held geographic tasking exclusively in central and western Iran, excluding third-party attribution for the Minab strike.</w:t>
      </w:r>
    </w:p>
    <w:p>
      <w:pPr>
        <w:spacing w:before="200" w:after="60"/>
      </w:pPr>
      <w:r>
        <w:rPr>
          <w:rFonts w:ascii="Calibri" w:hAnsi="Calibri"/>
          <w:b/>
          <w:color w:val="334155"/>
          <w:sz w:val="22"/>
        </w:rPr>
        <w:t>EXH-LAUNCH-003.3: Carrier Strike Group Deployment &amp; Launch Platform Verification</w:t>
      </w:r>
    </w:p>
    <w:p>
      <w:pPr>
        <w:pStyle w:val="ListBullet"/>
        <w:spacing w:before="20" w:after="40"/>
      </w:pPr>
      <w:r>
        <w:rPr>
          <w:rFonts w:ascii="Calibri" w:hAnsi="Calibri"/>
          <w:b/>
          <w:color w:val="1E293B"/>
          <w:sz w:val="19"/>
        </w:rPr>
        <w:t>Description:</w:t>
      </w:r>
      <w:r>
        <w:rPr>
          <w:rFonts w:ascii="Calibri" w:hAnsi="Calibri"/>
          <w:color w:val="1E293B"/>
          <w:sz w:val="19"/>
        </w:rPr>
        <w:t xml:space="preserve"> Commercial maritime satellite tracking (AIS and SAR imagery) and US Navy public ship locator dispatches.</w:t>
      </w:r>
    </w:p>
    <w:p>
      <w:pPr>
        <w:pStyle w:val="ListBullet"/>
        <w:spacing w:before="20" w:after="40"/>
      </w:pPr>
      <w:r>
        <w:rPr>
          <w:rFonts w:ascii="Calibri" w:hAnsi="Calibri"/>
          <w:b/>
          <w:color w:val="1E293B"/>
          <w:sz w:val="19"/>
        </w:rPr>
        <w:t>Factual Findings:</w:t>
      </w:r>
    </w:p>
    <w:p>
      <w:pPr>
        <w:spacing w:before="40" w:after="60"/>
        <w:ind w:left="432"/>
      </w:pPr>
      <w:r>
        <w:rPr>
          <w:b/>
          <w:sz w:val="19"/>
        </w:rPr>
        <w:t xml:space="preserve">1. </w:t>
      </w:r>
      <w:r>
        <w:rPr>
          <w:rFonts w:ascii="Calibri" w:hAnsi="Calibri"/>
          <w:color w:val="1E293B"/>
          <w:sz w:val="19"/>
        </w:rPr>
        <w:t xml:space="preserve">The </w:t>
      </w:r>
      <w:r>
        <w:rPr>
          <w:rFonts w:ascii="Calibri" w:hAnsi="Calibri"/>
          <w:b/>
          <w:color w:val="1E293B"/>
          <w:sz w:val="19"/>
        </w:rPr>
        <w:t>USS Abraham Lincoln Carrier Strike Group (CSG-3)</w:t>
      </w:r>
      <w:r>
        <w:rPr>
          <w:rFonts w:ascii="Calibri" w:hAnsi="Calibri"/>
          <w:color w:val="1E293B"/>
          <w:sz w:val="19"/>
        </w:rPr>
        <w:t>, including guided-missile cruisers (</w:t>
      </w:r>
      <w:r>
        <w:rPr>
          <w:rFonts w:ascii="Calibri" w:hAnsi="Calibri"/>
          <w:i/>
          <w:color w:val="1E293B"/>
          <w:sz w:val="19"/>
        </w:rPr>
        <w:t>Ticonderoga</w:t>
      </w:r>
      <w:r>
        <w:rPr>
          <w:rFonts w:ascii="Calibri" w:hAnsi="Calibri"/>
          <w:color w:val="1E293B"/>
          <w:sz w:val="19"/>
        </w:rPr>
        <w:t>-class) and guided-missile destroyers (</w:t>
      </w:r>
      <w:r>
        <w:rPr>
          <w:rFonts w:ascii="Calibri" w:hAnsi="Calibri"/>
          <w:i/>
          <w:color w:val="1E293B"/>
          <w:sz w:val="19"/>
        </w:rPr>
        <w:t>Arleigh Burke</w:t>
      </w:r>
      <w:r>
        <w:rPr>
          <w:rFonts w:ascii="Calibri" w:hAnsi="Calibri"/>
          <w:color w:val="1E293B"/>
          <w:sz w:val="19"/>
        </w:rPr>
        <w:t xml:space="preserve">-class Flight IIA/III), was stationed at latitude </w:t>
      </w:r>
      <w:r>
        <w:rPr>
          <w:rFonts w:ascii="Consolas" w:hAnsi="Consolas"/>
          <w:color w:val="831843"/>
          <w:sz w:val="18"/>
        </w:rPr>
        <w:t>24.45° N</w:t>
      </w:r>
      <w:r>
        <w:rPr>
          <w:rFonts w:ascii="Calibri" w:hAnsi="Calibri"/>
          <w:color w:val="1E293B"/>
          <w:sz w:val="19"/>
        </w:rPr>
        <w:t xml:space="preserve">, longitude </w:t>
      </w:r>
      <w:r>
        <w:rPr>
          <w:rFonts w:ascii="Consolas" w:hAnsi="Consolas"/>
          <w:color w:val="831843"/>
          <w:sz w:val="18"/>
        </w:rPr>
        <w:t>57.80° E</w:t>
      </w:r>
      <w:r>
        <w:rPr>
          <w:rFonts w:ascii="Calibri" w:hAnsi="Calibri"/>
          <w:color w:val="1E293B"/>
          <w:sz w:val="19"/>
        </w:rPr>
        <w:t xml:space="preserve"> in the northern Arabian Sea / Gulf of Oman.</w:t>
      </w:r>
    </w:p>
    <w:p>
      <w:pPr>
        <w:spacing w:before="40" w:after="60"/>
        <w:ind w:left="432"/>
      </w:pPr>
      <w:r>
        <w:rPr>
          <w:b/>
          <w:sz w:val="19"/>
        </w:rPr>
        <w:t xml:space="preserve">2. </w:t>
      </w:r>
      <w:r>
        <w:rPr>
          <w:rFonts w:ascii="Calibri" w:hAnsi="Calibri"/>
          <w:color w:val="1E293B"/>
          <w:sz w:val="19"/>
        </w:rPr>
        <w:t>The strike range to Minab (~310 km) falls squarely within the 1,600 km operational range of ship- and submarine-launched BGM-109 Tomahawk Block IV/V missiles.</w:t>
      </w:r>
    </w:p>
    <w:p>
      <w:pPr>
        <w:spacing w:before="200" w:after="60"/>
      </w:pPr>
      <w:r>
        <w:rPr>
          <w:rFonts w:ascii="Calibri" w:hAnsi="Calibri"/>
          <w:b/>
          <w:color w:val="334155"/>
          <w:sz w:val="22"/>
        </w:rPr>
        <w:t>EXH-LAUNCH-003.4: Exclusion of Third-Party and Regional Weapon Inventories</w:t>
      </w:r>
    </w:p>
    <w:p>
      <w:pPr>
        <w:pStyle w:val="ListBullet"/>
        <w:spacing w:before="20" w:after="40"/>
      </w:pPr>
      <w:r>
        <w:rPr>
          <w:rFonts w:ascii="Calibri" w:hAnsi="Calibri"/>
          <w:b/>
          <w:color w:val="1E293B"/>
          <w:sz w:val="19"/>
        </w:rPr>
        <w:t>Description:</w:t>
      </w:r>
      <w:r>
        <w:rPr>
          <w:rFonts w:ascii="Calibri" w:hAnsi="Calibri"/>
          <w:color w:val="1E293B"/>
          <w:sz w:val="19"/>
        </w:rPr>
        <w:t xml:space="preserve"> Comparative military inventory and export control assessment.</w:t>
      </w:r>
    </w:p>
    <w:p>
      <w:pPr>
        <w:pStyle w:val="ListBullet"/>
        <w:spacing w:before="20" w:after="40"/>
      </w:pPr>
      <w:r>
        <w:rPr>
          <w:rFonts w:ascii="Calibri" w:hAnsi="Calibri"/>
          <w:b/>
          <w:color w:val="1E293B"/>
          <w:sz w:val="19"/>
        </w:rPr>
        <w:t>Factual Findings:</w:t>
      </w:r>
    </w:p>
    <w:p>
      <w:pPr>
        <w:spacing w:before="40" w:after="60"/>
        <w:ind w:left="432"/>
      </w:pPr>
      <w:r>
        <w:rPr>
          <w:b/>
          <w:sz w:val="19"/>
        </w:rPr>
        <w:t xml:space="preserve">1. </w:t>
      </w:r>
      <w:r>
        <w:rPr>
          <w:rFonts w:ascii="Calibri" w:hAnsi="Calibri"/>
          <w:color w:val="1E293B"/>
          <w:sz w:val="19"/>
        </w:rPr>
        <w:t>The BGM-109 Tomahawk Land Attack Cruise Missile is operated exclusively by the United States Navy and the Royal Navy (United Kingdom).</w:t>
      </w:r>
    </w:p>
    <w:p>
      <w:pPr>
        <w:spacing w:before="40" w:after="60"/>
        <w:ind w:left="432"/>
      </w:pPr>
      <w:r>
        <w:rPr>
          <w:b/>
          <w:sz w:val="19"/>
        </w:rPr>
        <w:t xml:space="preserve">2. </w:t>
      </w:r>
      <w:r>
        <w:rPr>
          <w:rFonts w:ascii="Calibri" w:hAnsi="Calibri"/>
          <w:color w:val="1E293B"/>
          <w:sz w:val="19"/>
        </w:rPr>
        <w:t>Neither the armed forces of the Islamic Republic of Iran, nor any regional non-state armed groups, possess Tomahawk cruise missiles or compatible vertical launch systems (Mk 41 VLS).</w:t>
      </w:r>
    </w:p>
    <w:p>
      <w:pPr>
        <w:spacing w:before="200" w:after="60"/>
      </w:pPr>
      <w:r>
        <w:rPr>
          <w:rFonts w:ascii="Calibri" w:hAnsi="Calibri"/>
          <w:b/>
          <w:color w:val="334155"/>
          <w:sz w:val="22"/>
        </w:rPr>
        <w:t>EXH-LAUNCH-003.5 [RESERVED / PENDING DE-CLASSIFICATION]: Primary Ground Radar Recordings &amp; Electronic Warfare Logs</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STATE TRANSMISSION VIA LETTERS ROGATORY</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Calibrated raw primary radar Doppler plots and Electronic Support Measures (ESM) signal intercepts from regional civil aviation and military radar installations in southern Iran, Oman, and the UAE.</w:t>
      </w:r>
    </w:p>
    <w:p>
      <w:pPr>
        <w:pStyle w:val="ListBullet"/>
        <w:spacing w:before="20" w:after="40"/>
      </w:pPr>
      <w:r>
        <w:rPr>
          <w:rFonts w:ascii="Calibri" w:hAnsi="Calibri"/>
          <w:b/>
          <w:color w:val="1E293B"/>
          <w:sz w:val="19"/>
        </w:rPr>
        <w:t>Legal Significance:</w:t>
      </w:r>
      <w:r>
        <w:rPr>
          <w:rFonts w:ascii="Calibri" w:hAnsi="Calibri"/>
          <w:color w:val="1E293B"/>
          <w:sz w:val="19"/>
        </w:rPr>
        <w:t xml:space="preserve"> Corroborates the exact launch time, release platform coordinates, and mid-course waypoints programmed into the Tomahawk mission data cards.</w:t>
      </w:r>
    </w:p>
    <w:p>
      <w:pPr>
        <w:pStyle w:val="ListBullet"/>
        <w:spacing w:before="20" w:after="40"/>
      </w:pPr>
      <w:r>
        <w:rPr>
          <w:rFonts w:ascii="Calibri" w:hAnsi="Calibri"/>
          <w:b/>
          <w:color w:val="1E293B"/>
          <w:sz w:val="19"/>
        </w:rPr>
        <w:t>Target Custodian:</w:t>
      </w:r>
      <w:r>
        <w:rPr>
          <w:rFonts w:ascii="Calibri" w:hAnsi="Calibri"/>
          <w:color w:val="1E293B"/>
          <w:sz w:val="19"/>
        </w:rPr>
        <w:t xml:space="preserve"> Civil Aviation Organization / Regional Radar Authorities.</w:t>
      </w:r>
    </w:p>
    <w:p>
      <w:pPr>
        <w:spacing w:before="80" w:after="80"/>
        <w:jc w:val="center"/>
      </w:pPr>
      <w:r>
        <w:rPr>
          <w:color w:val="CBD5E1"/>
        </w:rPr>
        <w:t>————————————————————————————————</w:t>
      </w:r>
    </w:p>
    <w:p>
      <w:pPr>
        <w:spacing w:before="320" w:after="80"/>
      </w:pPr>
      <w:r>
        <w:rPr>
          <w:rFonts w:ascii="Calibri" w:hAnsi="Calibri"/>
          <w:b/>
          <w:color w:val="0F172A"/>
          <w:sz w:val="30"/>
        </w:rPr>
        <w:t>EXHIBIT SERIES CENTCOM: OFFICIAL STATEMENTS, ADMISSIONS &amp; 15-6 INQUIRY DISCLOSURES</w:t>
      </w:r>
    </w:p>
    <w:p>
      <w:pPr>
        <w:spacing w:before="200" w:after="60"/>
      </w:pPr>
      <w:r>
        <w:rPr>
          <w:rFonts w:ascii="Calibri" w:hAnsi="Calibri"/>
          <w:b/>
          <w:color w:val="334155"/>
          <w:sz w:val="22"/>
        </w:rPr>
        <w:t>EXH-CENTCOM-004.1: Pentagon Press Briefing Transcripts &amp; Public Concessions</w:t>
      </w:r>
    </w:p>
    <w:p>
      <w:pPr>
        <w:pStyle w:val="ListBullet"/>
        <w:spacing w:before="20" w:after="40"/>
      </w:pPr>
      <w:r>
        <w:rPr>
          <w:rFonts w:ascii="Calibri" w:hAnsi="Calibri"/>
          <w:b/>
          <w:color w:val="1E293B"/>
          <w:sz w:val="19"/>
        </w:rPr>
        <w:t>Description:</w:t>
      </w:r>
      <w:r>
        <w:rPr>
          <w:rFonts w:ascii="Calibri" w:hAnsi="Calibri"/>
          <w:color w:val="1E293B"/>
          <w:sz w:val="19"/>
        </w:rPr>
        <w:t xml:space="preserve"> Official transcripts of press conferences conducted at the Pentagon by the Assistant Secretary of Defense for Public Affairs and CENTCOM spokespersons between March 4 and March 12, 2026.</w:t>
      </w:r>
    </w:p>
    <w:p>
      <w:pPr>
        <w:pStyle w:val="ListBullet"/>
        <w:spacing w:before="20" w:after="40"/>
      </w:pPr>
      <w:r>
        <w:rPr>
          <w:rFonts w:ascii="Calibri" w:hAnsi="Calibri"/>
          <w:b/>
          <w:color w:val="1E293B"/>
          <w:sz w:val="19"/>
        </w:rPr>
        <w:t>Key Official Admissions Captured:</w:t>
      </w:r>
    </w:p>
    <w:p>
      <w:pPr>
        <w:spacing w:before="40" w:after="60"/>
        <w:ind w:left="432"/>
      </w:pPr>
      <w:r>
        <w:rPr>
          <w:b/>
          <w:sz w:val="19"/>
        </w:rPr>
        <w:t xml:space="preserve">1. </w:t>
      </w:r>
      <w:r>
        <w:rPr>
          <w:rFonts w:ascii="Calibri" w:hAnsi="Calibri"/>
          <w:i/>
          <w:color w:val="1E293B"/>
          <w:sz w:val="19"/>
        </w:rPr>
        <w:t>"We can confirm that US Central Command forces carried out precision strikes in the vicinity of Minab on February 28 as part of initial operations."</w:t>
      </w:r>
    </w:p>
    <w:p>
      <w:pPr>
        <w:spacing w:before="40" w:after="60"/>
        <w:ind w:left="432"/>
      </w:pPr>
      <w:r>
        <w:rPr>
          <w:b/>
          <w:sz w:val="19"/>
        </w:rPr>
        <w:t xml:space="preserve">2. </w:t>
      </w:r>
      <w:r>
        <w:rPr>
          <w:rFonts w:ascii="Calibri" w:hAnsi="Calibri"/>
          <w:color w:val="1E293B"/>
          <w:sz w:val="19"/>
        </w:rPr>
        <w:t xml:space="preserve">Concession that preliminary internal assessments indicate that US forces were </w:t>
      </w:r>
      <w:r>
        <w:rPr>
          <w:rFonts w:ascii="Calibri" w:hAnsi="Calibri"/>
          <w:i/>
          <w:color w:val="1E293B"/>
          <w:sz w:val="19"/>
        </w:rPr>
        <w:t>"likely responsible for civilian casualties reported at the educational facility"</w:t>
      </w:r>
      <w:r>
        <w:rPr>
          <w:rFonts w:ascii="Calibri" w:hAnsi="Calibri"/>
          <w:color w:val="1E293B"/>
          <w:sz w:val="19"/>
        </w:rPr>
        <w:t>.</w:t>
      </w:r>
    </w:p>
    <w:p>
      <w:pPr>
        <w:spacing w:before="40" w:after="60"/>
        <w:ind w:left="432"/>
      </w:pPr>
      <w:r>
        <w:rPr>
          <w:b/>
          <w:sz w:val="19"/>
        </w:rPr>
        <w:t xml:space="preserve">3. </w:t>
      </w:r>
      <w:r>
        <w:rPr>
          <w:rFonts w:ascii="Calibri" w:hAnsi="Calibri"/>
          <w:color w:val="1E293B"/>
          <w:sz w:val="19"/>
        </w:rPr>
        <w:t xml:space="preserve">Characterization of the strike as an </w:t>
      </w:r>
      <w:r>
        <w:rPr>
          <w:rFonts w:ascii="Calibri" w:hAnsi="Calibri"/>
          <w:i/>
          <w:color w:val="1E293B"/>
          <w:sz w:val="19"/>
        </w:rPr>
        <w:t>"unintended targeting error arising from historic coordinate data."</w:t>
      </w:r>
    </w:p>
    <w:p>
      <w:pPr>
        <w:spacing w:before="200" w:after="60"/>
      </w:pPr>
      <w:r>
        <w:rPr>
          <w:rFonts w:ascii="Calibri" w:hAnsi="Calibri"/>
          <w:b/>
          <w:color w:val="334155"/>
          <w:sz w:val="22"/>
        </w:rPr>
        <w:t>EXH-CENTCOM-004.2: Leaked Findings of CENTCOM AR 15-6 Investigation</w:t>
      </w:r>
    </w:p>
    <w:p>
      <w:pPr>
        <w:pStyle w:val="ListBullet"/>
        <w:spacing w:before="20" w:after="40"/>
      </w:pPr>
      <w:r>
        <w:rPr>
          <w:rFonts w:ascii="Calibri" w:hAnsi="Calibri"/>
          <w:b/>
          <w:color w:val="1E293B"/>
          <w:sz w:val="19"/>
        </w:rPr>
        <w:t>Description:</w:t>
      </w:r>
      <w:r>
        <w:rPr>
          <w:rFonts w:ascii="Calibri" w:hAnsi="Calibri"/>
          <w:color w:val="1E293B"/>
          <w:sz w:val="19"/>
        </w:rPr>
        <w:t xml:space="preserve"> Authenticated leaked excerpts and reporting by major national security correspondents (The New York Times, Washington Post, Reuters) regarding the US Army Regulation 15-6 preliminary investigation commissioned by CENTCOM.</w:t>
      </w:r>
    </w:p>
    <w:p>
      <w:pPr>
        <w:pStyle w:val="ListBullet"/>
        <w:spacing w:before="20" w:after="40"/>
      </w:pPr>
      <w:r>
        <w:rPr>
          <w:rFonts w:ascii="Calibri" w:hAnsi="Calibri"/>
          <w:b/>
          <w:color w:val="1E293B"/>
          <w:sz w:val="19"/>
        </w:rPr>
        <w:t>Key Analytical Disclosures:</w:t>
      </w:r>
    </w:p>
    <w:p>
      <w:pPr>
        <w:spacing w:before="40" w:after="60"/>
        <w:ind w:left="432"/>
      </w:pPr>
      <w:r>
        <w:rPr>
          <w:b/>
          <w:sz w:val="19"/>
        </w:rPr>
        <w:t xml:space="preserve">1. </w:t>
      </w:r>
      <w:r>
        <w:rPr>
          <w:rFonts w:ascii="Calibri" w:hAnsi="Calibri"/>
          <w:i/>
          <w:color w:val="1E293B"/>
          <w:sz w:val="19"/>
        </w:rPr>
        <w:t>Root Cause:</w:t>
      </w:r>
      <w:r>
        <w:rPr>
          <w:rFonts w:ascii="Calibri" w:hAnsi="Calibri"/>
          <w:color w:val="1E293B"/>
          <w:sz w:val="19"/>
        </w:rPr>
        <w:t xml:space="preserve"> The target was nominated using an outdated </w:t>
      </w:r>
      <w:r>
        <w:rPr>
          <w:rFonts w:ascii="Calibri" w:hAnsi="Calibri"/>
          <w:b/>
          <w:color w:val="1E293B"/>
          <w:sz w:val="19"/>
        </w:rPr>
        <w:t>Defense Intelligence Agency (DIA) target folder</w:t>
      </w:r>
      <w:r>
        <w:rPr>
          <w:rFonts w:ascii="Calibri" w:hAnsi="Calibri"/>
          <w:color w:val="1E293B"/>
          <w:sz w:val="19"/>
        </w:rPr>
        <w:t xml:space="preserve"> compiled prior to 2016, which designated the coordinate parcel as an active logistics auxiliary facility of the IRGC Navy.</w:t>
      </w:r>
    </w:p>
    <w:p>
      <w:pPr>
        <w:spacing w:before="40" w:after="60"/>
        <w:ind w:left="432"/>
      </w:pPr>
      <w:r>
        <w:rPr>
          <w:b/>
          <w:sz w:val="19"/>
        </w:rPr>
        <w:t xml:space="preserve">2. </w:t>
      </w:r>
      <w:r>
        <w:rPr>
          <w:rFonts w:ascii="Calibri" w:hAnsi="Calibri"/>
          <w:i/>
          <w:color w:val="1E293B"/>
          <w:sz w:val="19"/>
        </w:rPr>
        <w:t>Single Point of Failure:</w:t>
      </w:r>
      <w:r>
        <w:rPr>
          <w:rFonts w:ascii="Calibri" w:hAnsi="Calibri"/>
          <w:color w:val="1E293B"/>
          <w:sz w:val="19"/>
        </w:rPr>
        <w:t xml:space="preserve"> The target nomination list (TNL) was approved without conducting updated commercial satellite verification or consulting civilian municipal databases.</w:t>
      </w:r>
    </w:p>
    <w:p>
      <w:pPr>
        <w:spacing w:before="40" w:after="60"/>
        <w:ind w:left="432"/>
      </w:pPr>
      <w:r>
        <w:rPr>
          <w:b/>
          <w:sz w:val="19"/>
        </w:rPr>
        <w:t xml:space="preserve">3. </w:t>
      </w:r>
      <w:r>
        <w:rPr>
          <w:rFonts w:ascii="Calibri" w:hAnsi="Calibri"/>
          <w:i/>
          <w:color w:val="1E293B"/>
          <w:sz w:val="19"/>
        </w:rPr>
        <w:t>No-Strike List Glitch:</w:t>
      </w:r>
      <w:r>
        <w:rPr>
          <w:rFonts w:ascii="Calibri" w:hAnsi="Calibri"/>
          <w:color w:val="1E293B"/>
          <w:sz w:val="19"/>
        </w:rPr>
        <w:t xml:space="preserve"> The Shajareh Tayyebeh School was never uploaded to CENTCOM's automated </w:t>
      </w:r>
      <w:r>
        <w:rPr>
          <w:rFonts w:ascii="Calibri" w:hAnsi="Calibri"/>
          <w:b/>
          <w:color w:val="1E293B"/>
          <w:sz w:val="19"/>
        </w:rPr>
        <w:t>No-Strike List (NSL)</w:t>
      </w:r>
      <w:r>
        <w:rPr>
          <w:rFonts w:ascii="Calibri" w:hAnsi="Calibri"/>
          <w:color w:val="1E293B"/>
          <w:sz w:val="19"/>
        </w:rPr>
        <w:t>, allowing the strike package to proceed through automated vetting loops without human-interrupted no-strike alerts.</w:t>
      </w:r>
    </w:p>
    <w:p>
      <w:pPr>
        <w:spacing w:before="200" w:after="60"/>
      </w:pPr>
      <w:r>
        <w:rPr>
          <w:rFonts w:ascii="Calibri" w:hAnsi="Calibri"/>
          <w:b/>
          <w:color w:val="334155"/>
          <w:sz w:val="22"/>
        </w:rPr>
        <w:t>EXH-CENTCOM-004.3: Congressional Oversight Inquiries &amp; Senatorial Correspondence</w:t>
      </w:r>
    </w:p>
    <w:p>
      <w:pPr>
        <w:pStyle w:val="ListBullet"/>
        <w:spacing w:before="20" w:after="40"/>
      </w:pPr>
      <w:r>
        <w:rPr>
          <w:rFonts w:ascii="Calibri" w:hAnsi="Calibri"/>
          <w:b/>
          <w:color w:val="1E293B"/>
          <w:sz w:val="19"/>
        </w:rPr>
        <w:t>Description:</w:t>
      </w:r>
      <w:r>
        <w:rPr>
          <w:rFonts w:ascii="Calibri" w:hAnsi="Calibri"/>
          <w:color w:val="1E293B"/>
          <w:sz w:val="19"/>
        </w:rPr>
        <w:t xml:space="preserve"> Formal oversight letters transmitted by members of the United States Senate Committee on Armed Services and Committee on Foreign Relations to Defense Secretary Pete Hegseth (March 2026).</w:t>
      </w:r>
    </w:p>
    <w:p>
      <w:pPr>
        <w:pStyle w:val="ListBullet"/>
        <w:spacing w:before="20" w:after="40"/>
      </w:pPr>
      <w:r>
        <w:rPr>
          <w:rFonts w:ascii="Calibri" w:hAnsi="Calibri"/>
          <w:b/>
          <w:color w:val="1E293B"/>
          <w:sz w:val="19"/>
        </w:rPr>
        <w:t>Core Inquiries &amp; Findings:</w:t>
      </w:r>
    </w:p>
    <w:p>
      <w:pPr>
        <w:spacing w:before="40" w:after="60"/>
        <w:ind w:left="432"/>
      </w:pPr>
      <w:r>
        <w:rPr>
          <w:b/>
          <w:sz w:val="19"/>
        </w:rPr>
        <w:t xml:space="preserve">1. </w:t>
      </w:r>
      <w:r>
        <w:rPr>
          <w:rFonts w:ascii="Calibri" w:hAnsi="Calibri"/>
          <w:color w:val="1E293B"/>
          <w:sz w:val="19"/>
        </w:rPr>
        <w:t>Senators demanded full disclosure of the target review chain, specifically querying why peacetime target lists contained ten-year-old unverified coordinates.</w:t>
      </w:r>
    </w:p>
    <w:p>
      <w:pPr>
        <w:spacing w:before="40" w:after="60"/>
        <w:ind w:left="432"/>
      </w:pPr>
      <w:r>
        <w:rPr>
          <w:b/>
          <w:sz w:val="19"/>
        </w:rPr>
        <w:t xml:space="preserve">2. </w:t>
      </w:r>
      <w:r>
        <w:rPr>
          <w:rFonts w:ascii="Calibri" w:hAnsi="Calibri"/>
          <w:color w:val="1E293B"/>
          <w:sz w:val="19"/>
        </w:rPr>
        <w:t xml:space="preserve">Inquiries explicitly linked the disaster to the </w:t>
      </w:r>
      <w:r>
        <w:rPr>
          <w:rFonts w:ascii="Calibri" w:hAnsi="Calibri"/>
          <w:b/>
          <w:color w:val="1E293B"/>
          <w:sz w:val="19"/>
        </w:rPr>
        <w:t>dismantling of the Civilian Harm Mitigation and Response (CHMR) framework</w:t>
      </w:r>
      <w:r>
        <w:rPr>
          <w:rFonts w:ascii="Calibri" w:hAnsi="Calibri"/>
          <w:color w:val="1E293B"/>
          <w:sz w:val="19"/>
        </w:rPr>
        <w:t xml:space="preserve"> and the revocation of mandatory civilian casualty pre-strike vetting protocols.</w:t>
      </w:r>
    </w:p>
    <w:p>
      <w:pPr>
        <w:spacing w:before="200" w:after="60"/>
      </w:pPr>
      <w:r>
        <w:rPr>
          <w:rFonts w:ascii="Calibri" w:hAnsi="Calibri"/>
          <w:b/>
          <w:color w:val="334155"/>
          <w:sz w:val="22"/>
        </w:rPr>
        <w:t>EXH-CENTCOM-004.4: Deployment of Automated AI Target Generation Pipelines (Palantir Maven Smart System &amp; Claude AI)</w:t>
      </w:r>
    </w:p>
    <w:p>
      <w:pPr>
        <w:pStyle w:val="ListBullet"/>
        <w:spacing w:before="20" w:after="40"/>
      </w:pPr>
      <w:r>
        <w:rPr>
          <w:rFonts w:ascii="Calibri" w:hAnsi="Calibri"/>
          <w:b/>
          <w:color w:val="1E293B"/>
          <w:sz w:val="19"/>
        </w:rPr>
        <w:t>Description:</w:t>
      </w:r>
      <w:r>
        <w:rPr>
          <w:rFonts w:ascii="Calibri" w:hAnsi="Calibri"/>
          <w:color w:val="1E293B"/>
          <w:sz w:val="19"/>
        </w:rPr>
        <w:t xml:space="preserve"> Technical evaluation and forensic audit of automated algorithmic targeting systems deployed by CENTCOM during Operation Epic Fury, as substantiated by Pentagon investigative disclosures and Bloomberg News reporting.</w:t>
      </w:r>
    </w:p>
    <w:p>
      <w:pPr>
        <w:pStyle w:val="ListBullet"/>
        <w:spacing w:before="20" w:after="40"/>
      </w:pPr>
      <w:r>
        <w:rPr>
          <w:rFonts w:ascii="Calibri" w:hAnsi="Calibri"/>
          <w:b/>
          <w:color w:val="1E293B"/>
          <w:sz w:val="19"/>
        </w:rPr>
        <w:t>Factual Findings &amp; System Architecture:</w:t>
      </w:r>
    </w:p>
    <w:p>
      <w:pPr>
        <w:spacing w:before="40" w:after="60"/>
        <w:ind w:left="432"/>
      </w:pPr>
      <w:r>
        <w:rPr>
          <w:b/>
          <w:sz w:val="19"/>
        </w:rPr>
        <w:t xml:space="preserve">1. </w:t>
      </w:r>
      <w:r>
        <w:rPr>
          <w:rFonts w:ascii="Calibri" w:hAnsi="Calibri"/>
          <w:b/>
          <w:color w:val="1E293B"/>
          <w:sz w:val="19"/>
        </w:rPr>
        <w:t>Platform Stack:</w:t>
      </w:r>
      <w:r>
        <w:rPr>
          <w:rFonts w:ascii="Calibri" w:hAnsi="Calibri"/>
          <w:color w:val="1E293B"/>
          <w:sz w:val="19"/>
        </w:rPr>
        <w:t xml:space="preserve"> CENTCOM deployed the </w:t>
      </w:r>
      <w:r>
        <w:rPr>
          <w:rFonts w:ascii="Calibri" w:hAnsi="Calibri"/>
          <w:b/>
          <w:color w:val="1E293B"/>
          <w:sz w:val="19"/>
        </w:rPr>
        <w:t>Maven Smart System</w:t>
      </w:r>
      <w:r>
        <w:rPr>
          <w:rFonts w:ascii="Calibri" w:hAnsi="Calibri"/>
          <w:color w:val="1E293B"/>
          <w:sz w:val="19"/>
        </w:rPr>
        <w:t xml:space="preserve"> (developed by Palantir Technologies), integrating large language and reasoning models (</w:t>
      </w:r>
      <w:r>
        <w:rPr>
          <w:rFonts w:ascii="Calibri" w:hAnsi="Calibri"/>
          <w:b/>
          <w:color w:val="1E293B"/>
          <w:sz w:val="19"/>
        </w:rPr>
        <w:t>Anthropic’s Claude</w:t>
      </w:r>
      <w:r>
        <w:rPr>
          <w:rFonts w:ascii="Calibri" w:hAnsi="Calibri"/>
          <w:color w:val="1E293B"/>
          <w:sz w:val="19"/>
        </w:rPr>
        <w:t>) to synthesize multi-INT feeds, calculate target priority scores, and draft automated target nomination rationales;</w:t>
      </w:r>
    </w:p>
    <w:p>
      <w:pPr>
        <w:spacing w:before="40" w:after="60"/>
        <w:ind w:left="432"/>
      </w:pPr>
      <w:r>
        <w:rPr>
          <w:b/>
          <w:sz w:val="19"/>
        </w:rPr>
        <w:t xml:space="preserve">2. </w:t>
      </w:r>
      <w:r>
        <w:rPr>
          <w:rFonts w:ascii="Calibri" w:hAnsi="Calibri"/>
          <w:b/>
          <w:color w:val="1E293B"/>
          <w:sz w:val="19"/>
        </w:rPr>
        <w:t>Stale Classification Ingestion:</w:t>
      </w:r>
      <w:r>
        <w:rPr>
          <w:rFonts w:ascii="Calibri" w:hAnsi="Calibri"/>
          <w:color w:val="1E293B"/>
          <w:sz w:val="19"/>
        </w:rPr>
        <w:t xml:space="preserve"> Maven ingested legacy pre-2016 targeting databases classifying the parcel as an active IRGC naval logistics depot. While secondary intelligence branches had separately recorded the facility's 2016 physical partition and conversion to an elementary school, these records were stored in disconnected database silos and never synchronized into Maven's operational targeting layer;</w:t>
      </w:r>
    </w:p>
    <w:p>
      <w:pPr>
        <w:spacing w:before="40" w:after="60"/>
        <w:ind w:left="432"/>
      </w:pPr>
      <w:r>
        <w:rPr>
          <w:b/>
          <w:sz w:val="19"/>
        </w:rPr>
        <w:t xml:space="preserve">3. </w:t>
      </w:r>
      <w:r>
        <w:rPr>
          <w:rFonts w:ascii="Calibri" w:hAnsi="Calibri"/>
          <w:b/>
          <w:color w:val="1E293B"/>
          <w:sz w:val="19"/>
        </w:rPr>
        <w:t>Extreme Time Compression &amp; Automation Bias:</w:t>
      </w:r>
      <w:r>
        <w:rPr>
          <w:rFonts w:ascii="Calibri" w:hAnsi="Calibri"/>
          <w:color w:val="1E293B"/>
          <w:sz w:val="19"/>
        </w:rPr>
        <w:t xml:space="preserve"> During the opening 24 hours of the conflict, the Maven platform processed over 1,000 strikes, compressing target validation workflows from hours/days into minutes. Human targeters and approving commanders operated under cognitive saturation, displaying uncritical automation bias toward algorithmic recommendations;</w:t>
      </w:r>
    </w:p>
    <w:p>
      <w:pPr>
        <w:spacing w:before="40" w:after="60"/>
        <w:ind w:left="432"/>
      </w:pPr>
      <w:r>
        <w:rPr>
          <w:b/>
          <w:sz w:val="19"/>
        </w:rPr>
        <w:t xml:space="preserve">4. </w:t>
      </w:r>
      <w:r>
        <w:rPr>
          <w:rFonts w:ascii="Calibri" w:hAnsi="Calibri"/>
          <w:b/>
          <w:color w:val="1E293B"/>
          <w:sz w:val="19"/>
        </w:rPr>
        <w:t>Elimination of Civilian Harm Safeguards:</w:t>
      </w:r>
      <w:r>
        <w:rPr>
          <w:rFonts w:ascii="Calibri" w:hAnsi="Calibri"/>
          <w:color w:val="1E293B"/>
          <w:sz w:val="19"/>
        </w:rPr>
        <w:t xml:space="preserve"> Prior to the operation, CENTCOM’s dedicated Civilian Harm Mitigation and Response (CHMR) unit was reduced from </w:t>
      </w:r>
      <w:r>
        <w:rPr>
          <w:rFonts w:ascii="Calibri" w:hAnsi="Calibri"/>
          <w:b/>
          <w:color w:val="1E293B"/>
          <w:sz w:val="19"/>
        </w:rPr>
        <w:t>10 members to a single analyst</w:t>
      </w:r>
      <w:r>
        <w:rPr>
          <w:rFonts w:ascii="Calibri" w:hAnsi="Calibri"/>
          <w:color w:val="1E293B"/>
          <w:sz w:val="19"/>
        </w:rPr>
        <w:t>. Zero civilian harm mitigation specialists reviewed the Minab school target packet before weapons release;</w:t>
      </w:r>
    </w:p>
    <w:p>
      <w:pPr>
        <w:spacing w:before="40" w:after="60"/>
        <w:ind w:left="432"/>
      </w:pPr>
      <w:r>
        <w:rPr>
          <w:b/>
          <w:sz w:val="19"/>
        </w:rPr>
        <w:t xml:space="preserve">5. </w:t>
      </w:r>
      <w:r>
        <w:rPr>
          <w:rFonts w:ascii="Calibri" w:hAnsi="Calibri"/>
          <w:b/>
          <w:color w:val="1E293B"/>
          <w:sz w:val="19"/>
        </w:rPr>
        <w:t>Post-Strike Vendor Remediation:</w:t>
      </w:r>
      <w:r>
        <w:rPr>
          <w:rFonts w:ascii="Calibri" w:hAnsi="Calibri"/>
          <w:color w:val="1E293B"/>
          <w:sz w:val="19"/>
        </w:rPr>
        <w:t xml:space="preserve"> Following internal Pentagon confirmation of US responsibility for the school's destruction within hours of impact, Palantir quietly deployed emergency software updates to Maven, introducing automated "re-review" checkpoints to search for disqualifying civilian factors previously missed by human operators.</w:t>
      </w:r>
    </w:p>
    <w:p>
      <w:pPr>
        <w:spacing w:before="200" w:after="60"/>
      </w:pPr>
      <w:r>
        <w:rPr>
          <w:rFonts w:ascii="Calibri" w:hAnsi="Calibri"/>
          <w:b/>
          <w:color w:val="334155"/>
          <w:sz w:val="22"/>
        </w:rPr>
        <w:t>EXH-CENTCOM-004.5 [RESERVED / PENDING SUBPOENA &amp; DECLASSIFICATION]: Complete Unredacted CENTCOM 15-6 Dossier</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CONGRESSIONAL SUBPOENA &amp; FREEDOM OF INFORMATION ACT (FOIA) PETITION</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Full unredacted report of the investigating officer appointed under Army Regulation 15-6, including:</w:t>
      </w:r>
    </w:p>
    <w:p>
      <w:pPr>
        <w:pStyle w:val="ListBullet"/>
        <w:spacing w:before="20" w:after="40"/>
        <w:ind w:left="576"/>
      </w:pPr>
      <w:r>
        <w:rPr>
          <w:rFonts w:ascii="Calibri" w:hAnsi="Calibri"/>
          <w:color w:val="1E293B"/>
          <w:sz w:val="19"/>
        </w:rPr>
        <w:t xml:space="preserve">Target Folder Data Sheet </w:t>
      </w:r>
      <w:r>
        <w:rPr>
          <w:rFonts w:ascii="Consolas" w:hAnsi="Consolas"/>
          <w:color w:val="831843"/>
          <w:sz w:val="18"/>
        </w:rPr>
        <w:t>TDS-2026-IR-0814</w:t>
      </w:r>
      <w:r>
        <w:rPr>
          <w:rFonts w:ascii="Calibri" w:hAnsi="Calibri"/>
          <w:color w:val="1E293B"/>
          <w:sz w:val="19"/>
        </w:rPr>
        <w:t xml:space="preserve"> (Minab Naval Logistics Target Package);</w:t>
      </w:r>
    </w:p>
    <w:p>
      <w:pPr>
        <w:pStyle w:val="ListBullet"/>
        <w:spacing w:before="20" w:after="40"/>
        <w:ind w:left="576"/>
      </w:pPr>
      <w:r>
        <w:rPr>
          <w:rFonts w:ascii="Calibri" w:hAnsi="Calibri"/>
          <w:color w:val="1E293B"/>
          <w:sz w:val="19"/>
        </w:rPr>
        <w:t>Minutes and voting sheets of the CENTCOM Joint Targeting Coordination Board (JTCB);</w:t>
      </w:r>
    </w:p>
    <w:p>
      <w:pPr>
        <w:pStyle w:val="ListBullet"/>
        <w:spacing w:before="20" w:after="40"/>
        <w:ind w:left="576"/>
      </w:pPr>
      <w:r>
        <w:rPr>
          <w:rFonts w:ascii="Calibri" w:hAnsi="Calibri"/>
          <w:color w:val="1E293B"/>
          <w:sz w:val="19"/>
        </w:rPr>
        <w:t>Collateral Damage Estimation Methodology (CDEM) worksheets approved for the strike;</w:t>
      </w:r>
    </w:p>
    <w:p>
      <w:pPr>
        <w:pStyle w:val="ListBullet"/>
        <w:spacing w:before="20" w:after="40"/>
        <w:ind w:left="576"/>
      </w:pPr>
      <w:r>
        <w:rPr>
          <w:rFonts w:ascii="Calibri" w:hAnsi="Calibri"/>
          <w:color w:val="1E293B"/>
          <w:sz w:val="19"/>
        </w:rPr>
        <w:t>Sworn depositions of the target developer, target validator, and approving flag officer.</w:t>
      </w:r>
    </w:p>
    <w:p>
      <w:pPr>
        <w:pStyle w:val="ListBullet"/>
        <w:spacing w:before="20" w:after="40"/>
      </w:pPr>
      <w:r>
        <w:rPr>
          <w:rFonts w:ascii="Calibri" w:hAnsi="Calibri"/>
          <w:b/>
          <w:color w:val="1E293B"/>
          <w:sz w:val="19"/>
        </w:rPr>
        <w:t>Legal Significance:</w:t>
      </w:r>
      <w:r>
        <w:rPr>
          <w:rFonts w:ascii="Calibri" w:hAnsi="Calibri"/>
          <w:color w:val="1E293B"/>
          <w:sz w:val="19"/>
        </w:rPr>
        <w:t xml:space="preserve"> Direct proof of the exact human and algorithmic steps that approved the school coordinates, definitively substantiating systemic command negligence.</w:t>
      </w:r>
    </w:p>
    <w:p>
      <w:pPr>
        <w:pStyle w:val="ListBullet"/>
        <w:spacing w:before="20" w:after="40"/>
      </w:pPr>
      <w:r>
        <w:rPr>
          <w:rFonts w:ascii="Calibri" w:hAnsi="Calibri"/>
          <w:b/>
          <w:color w:val="1E293B"/>
          <w:sz w:val="19"/>
        </w:rPr>
        <w:t>Target Custodian:</w:t>
      </w:r>
      <w:r>
        <w:rPr>
          <w:rFonts w:ascii="Calibri" w:hAnsi="Calibri"/>
          <w:color w:val="1E293B"/>
          <w:sz w:val="19"/>
        </w:rPr>
        <w:t xml:space="preserve"> Office of the Inspector General, US Department of Defense (Alexandria, Virginia) / US Central Command Legal Office (MacDill AFB, Florida).</w:t>
      </w:r>
    </w:p>
    <w:p>
      <w:pPr>
        <w:spacing w:before="80" w:after="80"/>
        <w:jc w:val="center"/>
      </w:pPr>
      <w:r>
        <w:rPr>
          <w:color w:val="CBD5E1"/>
        </w:rPr>
        <w:t>————————————————————————————————</w:t>
      </w:r>
    </w:p>
    <w:p>
      <w:pPr>
        <w:spacing w:before="320" w:after="80"/>
      </w:pPr>
      <w:r>
        <w:rPr>
          <w:rFonts w:ascii="Calibri" w:hAnsi="Calibri"/>
          <w:b/>
          <w:color w:val="0F172A"/>
          <w:sz w:val="30"/>
        </w:rPr>
        <w:t>EXHIBIT SERIES VIC: BIOMETRIC CASUALTY ARCHIVE, FORENSIC CERTIFICATES &amp; NOMINAL ROLL</w:t>
      </w:r>
    </w:p>
    <w:p>
      <w:pPr>
        <w:spacing w:before="200" w:after="60"/>
      </w:pPr>
      <w:r>
        <w:rPr>
          <w:rFonts w:ascii="Calibri" w:hAnsi="Calibri"/>
          <w:b/>
          <w:color w:val="334155"/>
          <w:sz w:val="22"/>
        </w:rPr>
        <w:t>EXH-VIC-005.1: Hormozgan Legal Medicine Organization (Pezeshki Ghanouni) Registry</w:t>
      </w:r>
    </w:p>
    <w:p>
      <w:pPr>
        <w:pStyle w:val="ListBullet"/>
        <w:spacing w:before="20" w:after="40"/>
      </w:pPr>
      <w:r>
        <w:rPr>
          <w:rFonts w:ascii="Calibri" w:hAnsi="Calibri"/>
          <w:b/>
          <w:color w:val="1E293B"/>
          <w:sz w:val="19"/>
        </w:rPr>
        <w:t>Description:</w:t>
      </w:r>
      <w:r>
        <w:rPr>
          <w:rFonts w:ascii="Calibri" w:hAnsi="Calibri"/>
          <w:color w:val="1E293B"/>
          <w:sz w:val="19"/>
        </w:rPr>
        <w:t xml:space="preserve"> Certified death certificates, external pathology reports, and post-mortem examination registers issued by the Hormozgan Provincial Department of Forensic Medicine (</w:t>
      </w:r>
      <w:r>
        <w:rPr>
          <w:rFonts w:ascii="Calibri" w:hAnsi="Calibri"/>
          <w:i/>
          <w:color w:val="1E293B"/>
          <w:sz w:val="19"/>
        </w:rPr>
        <w:t>Pezeshki Ghanouni</w:t>
      </w:r>
      <w:r>
        <w:rPr>
          <w:rFonts w:ascii="Calibri" w:hAnsi="Calibri"/>
          <w:color w:val="1E293B"/>
          <w:sz w:val="19"/>
        </w:rPr>
        <w:t>), certifying deaths occurring at Minab on February 28, 2026.</w:t>
      </w:r>
    </w:p>
    <w:p>
      <w:pPr>
        <w:pStyle w:val="ListBullet"/>
        <w:spacing w:before="20" w:after="40"/>
      </w:pPr>
      <w:r>
        <w:rPr>
          <w:rFonts w:ascii="Calibri" w:hAnsi="Calibri"/>
          <w:b/>
          <w:color w:val="1E293B"/>
          <w:sz w:val="19"/>
        </w:rPr>
        <w:t>Certified Aggregate Findings:</w:t>
      </w:r>
    </w:p>
    <w:p>
      <w:pPr>
        <w:pStyle w:val="ListBullet"/>
        <w:spacing w:before="20" w:after="40"/>
        <w:ind w:left="576"/>
      </w:pPr>
      <w:r>
        <w:rPr>
          <w:rFonts w:ascii="Calibri" w:hAnsi="Calibri"/>
          <w:b/>
          <w:color w:val="1E293B"/>
          <w:sz w:val="19"/>
        </w:rPr>
        <w:t>Total Certified Deaths:</w:t>
      </w:r>
      <w:r>
        <w:rPr>
          <w:rFonts w:ascii="Calibri" w:hAnsi="Calibri"/>
          <w:color w:val="1E293B"/>
          <w:sz w:val="19"/>
        </w:rPr>
        <w:t xml:space="preserve"> </w:t>
      </w:r>
      <w:r>
        <w:rPr>
          <w:rFonts w:ascii="Calibri" w:hAnsi="Calibri"/>
          <w:b/>
          <w:color w:val="1E293B"/>
          <w:sz w:val="19"/>
        </w:rPr>
        <w:t>156 individuals</w:t>
      </w:r>
      <w:r>
        <w:rPr>
          <w:rFonts w:ascii="Calibri" w:hAnsi="Calibri"/>
          <w:color w:val="1E293B"/>
          <w:sz w:val="19"/>
        </w:rPr>
        <w:t>;</w:t>
      </w:r>
    </w:p>
    <w:p>
      <w:pPr>
        <w:pStyle w:val="ListBullet"/>
        <w:spacing w:before="20" w:after="40"/>
        <w:ind w:left="576"/>
      </w:pPr>
      <w:r>
        <w:rPr>
          <w:rFonts w:ascii="Calibri" w:hAnsi="Calibri"/>
          <w:b/>
          <w:color w:val="1E293B"/>
          <w:sz w:val="19"/>
        </w:rPr>
        <w:t>Cause of Death Breakdown:</w:t>
      </w:r>
    </w:p>
    <w:p>
      <w:pPr>
        <w:pStyle w:val="ListBullet"/>
        <w:spacing w:before="20" w:after="40"/>
        <w:ind w:left="576"/>
      </w:pPr>
      <w:r>
        <w:rPr>
          <w:rFonts w:ascii="Calibri" w:hAnsi="Calibri"/>
          <w:color w:val="1E293B"/>
          <w:sz w:val="19"/>
        </w:rPr>
        <w:t>68% (106 victims): Extreme traumatic blast polytrauma, catastrophic crushing injuries from reinforced concrete collapse, and traumatic decapitation/avulsion;</w:t>
      </w:r>
    </w:p>
    <w:p>
      <w:pPr>
        <w:pStyle w:val="ListBullet"/>
        <w:spacing w:before="20" w:after="40"/>
        <w:ind w:left="576"/>
      </w:pPr>
      <w:r>
        <w:rPr>
          <w:rFonts w:ascii="Calibri" w:hAnsi="Calibri"/>
          <w:color w:val="1E293B"/>
          <w:sz w:val="19"/>
        </w:rPr>
        <w:t>22% (34 victims): Penetrating high-velocity shrapnel wounds to cranium, thorax, and vital organs;</w:t>
      </w:r>
    </w:p>
    <w:p>
      <w:pPr>
        <w:pStyle w:val="ListBullet"/>
        <w:spacing w:before="20" w:after="40"/>
        <w:ind w:left="576"/>
      </w:pPr>
      <w:r>
        <w:rPr>
          <w:rFonts w:ascii="Calibri" w:hAnsi="Calibri"/>
          <w:color w:val="1E293B"/>
          <w:sz w:val="19"/>
        </w:rPr>
        <w:t>10% (16 victims): Severe third-degree thermal burns and post-detonation asphyxiation.</w:t>
      </w:r>
    </w:p>
    <w:p>
      <w:pPr>
        <w:spacing w:before="200" w:after="60"/>
      </w:pPr>
      <w:r>
        <w:rPr>
          <w:rFonts w:ascii="Calibri" w:hAnsi="Calibri"/>
          <w:b/>
          <w:color w:val="334155"/>
          <w:sz w:val="22"/>
        </w:rPr>
        <w:t>EXH-VIC-005.2: Minab Shahid Mohammadi Hospital Admission &amp; Triage Records</w:t>
      </w:r>
    </w:p>
    <w:p>
      <w:pPr>
        <w:pStyle w:val="ListBullet"/>
        <w:spacing w:before="20" w:after="40"/>
      </w:pPr>
      <w:r>
        <w:rPr>
          <w:rFonts w:ascii="Calibri" w:hAnsi="Calibri"/>
          <w:b/>
          <w:color w:val="1E293B"/>
          <w:sz w:val="19"/>
        </w:rPr>
        <w:t>Description:</w:t>
      </w:r>
      <w:r>
        <w:rPr>
          <w:rFonts w:ascii="Calibri" w:hAnsi="Calibri"/>
          <w:color w:val="1E293B"/>
          <w:sz w:val="19"/>
        </w:rPr>
        <w:t xml:space="preserve"> Certified emergency department admission registries, surgical logs, and intensive care charts from Shahid Mohammadi Hospital in Minab and Hormozgan Provincial Trauma Center.</w:t>
      </w:r>
    </w:p>
    <w:p>
      <w:pPr>
        <w:pStyle w:val="ListBullet"/>
        <w:spacing w:before="20" w:after="40"/>
      </w:pPr>
      <w:r>
        <w:rPr>
          <w:rFonts w:ascii="Calibri" w:hAnsi="Calibri"/>
          <w:b/>
          <w:color w:val="1E293B"/>
          <w:sz w:val="19"/>
        </w:rPr>
        <w:t>Documented Casualty Manifest:</w:t>
      </w:r>
    </w:p>
    <w:p>
      <w:pPr>
        <w:pStyle w:val="ListBullet"/>
        <w:spacing w:before="20" w:after="40"/>
        <w:ind w:left="576"/>
      </w:pPr>
      <w:r>
        <w:rPr>
          <w:rFonts w:ascii="Calibri" w:hAnsi="Calibri"/>
          <w:b/>
          <w:color w:val="1E293B"/>
          <w:sz w:val="19"/>
        </w:rPr>
        <w:t>95+ documented surviving casualties</w:t>
      </w:r>
      <w:r>
        <w:rPr>
          <w:rFonts w:ascii="Calibri" w:hAnsi="Calibri"/>
          <w:color w:val="1E293B"/>
          <w:sz w:val="19"/>
        </w:rPr>
        <w:t xml:space="preserve"> treated between 09:40 IRST on February 28 and March 15, 2026;</w:t>
      </w:r>
    </w:p>
    <w:p>
      <w:pPr>
        <w:pStyle w:val="ListBullet"/>
        <w:spacing w:before="20" w:after="40"/>
        <w:ind w:left="576"/>
      </w:pPr>
      <w:r>
        <w:rPr>
          <w:rFonts w:ascii="Calibri" w:hAnsi="Calibri"/>
          <w:color w:val="1E293B"/>
          <w:sz w:val="19"/>
        </w:rPr>
        <w:t>38 emergency limb amputations performed on pediatric patients (girls aged 7–12);</w:t>
      </w:r>
    </w:p>
    <w:p>
      <w:pPr>
        <w:pStyle w:val="ListBullet"/>
        <w:spacing w:before="20" w:after="40"/>
        <w:ind w:left="576"/>
      </w:pPr>
      <w:r>
        <w:rPr>
          <w:rFonts w:ascii="Calibri" w:hAnsi="Calibri"/>
          <w:color w:val="1E293B"/>
          <w:sz w:val="19"/>
        </w:rPr>
        <w:t>24 cases of irreversible acoustic trauma and permanent bilateral eardrum rupture;</w:t>
      </w:r>
    </w:p>
    <w:p>
      <w:pPr>
        <w:pStyle w:val="ListBullet"/>
        <w:spacing w:before="20" w:after="40"/>
        <w:ind w:left="576"/>
      </w:pPr>
      <w:r>
        <w:rPr>
          <w:rFonts w:ascii="Calibri" w:hAnsi="Calibri"/>
          <w:color w:val="1E293B"/>
          <w:sz w:val="19"/>
        </w:rPr>
        <w:t>19 cases of severe penetrating ocular trauma resulting in permanent partial or total blindness.</w:t>
      </w:r>
    </w:p>
    <w:p>
      <w:pPr>
        <w:spacing w:before="200" w:after="60"/>
      </w:pPr>
      <w:r>
        <w:rPr>
          <w:rFonts w:ascii="Calibri" w:hAnsi="Calibri"/>
          <w:b/>
          <w:color w:val="334155"/>
          <w:sz w:val="22"/>
        </w:rPr>
        <w:t>EXH-VIC-005.3: Ministry of Education Institutional Accreditation &amp; Staff Roster</w:t>
      </w:r>
    </w:p>
    <w:p>
      <w:pPr>
        <w:pStyle w:val="ListBullet"/>
        <w:spacing w:before="20" w:after="40"/>
      </w:pPr>
      <w:r>
        <w:rPr>
          <w:rFonts w:ascii="Calibri" w:hAnsi="Calibri"/>
          <w:b/>
          <w:color w:val="1E293B"/>
          <w:sz w:val="19"/>
        </w:rPr>
        <w:t>Description:</w:t>
      </w:r>
      <w:r>
        <w:rPr>
          <w:rFonts w:ascii="Calibri" w:hAnsi="Calibri"/>
          <w:color w:val="1E293B"/>
          <w:sz w:val="19"/>
        </w:rPr>
        <w:t xml:space="preserve"> Official licensing documentation from the Iranian Ministry of Education (Department of Education of Hormozgan Province, Minab District), certifying:</w:t>
      </w:r>
    </w:p>
    <w:p>
      <w:pPr>
        <w:spacing w:before="40" w:after="60"/>
        <w:ind w:left="432"/>
      </w:pPr>
      <w:r>
        <w:rPr>
          <w:b/>
          <w:sz w:val="19"/>
        </w:rPr>
        <w:t xml:space="preserve">1. </w:t>
      </w:r>
      <w:r>
        <w:rPr>
          <w:rFonts w:ascii="Calibri" w:hAnsi="Calibri"/>
          <w:color w:val="1E293B"/>
          <w:sz w:val="19"/>
        </w:rPr>
        <w:t xml:space="preserve">Institutional accreditation of </w:t>
      </w:r>
      <w:r>
        <w:rPr>
          <w:rFonts w:ascii="Calibri" w:hAnsi="Calibri"/>
          <w:i/>
          <w:color w:val="1E293B"/>
          <w:sz w:val="19"/>
        </w:rPr>
        <w:t>Shajareh Tayyebeh Girls' Elementary School</w:t>
      </w:r>
      <w:r>
        <w:rPr>
          <w:rFonts w:ascii="Calibri" w:hAnsi="Calibri"/>
          <w:color w:val="1E293B"/>
          <w:sz w:val="19"/>
        </w:rPr>
        <w:t xml:space="preserve"> (Code: </w:t>
      </w:r>
      <w:r>
        <w:rPr>
          <w:rFonts w:ascii="Consolas" w:hAnsi="Consolas"/>
          <w:color w:val="831843"/>
          <w:sz w:val="18"/>
        </w:rPr>
        <w:t>96142081</w:t>
      </w:r>
      <w:r>
        <w:rPr>
          <w:rFonts w:ascii="Calibri" w:hAnsi="Calibri"/>
          <w:color w:val="1E293B"/>
          <w:sz w:val="19"/>
        </w:rPr>
        <w:t>);</w:t>
      </w:r>
    </w:p>
    <w:p>
      <w:pPr>
        <w:spacing w:before="40" w:after="60"/>
        <w:ind w:left="432"/>
      </w:pPr>
      <w:r>
        <w:rPr>
          <w:b/>
          <w:sz w:val="19"/>
        </w:rPr>
        <w:t xml:space="preserve">2. </w:t>
      </w:r>
      <w:r>
        <w:rPr>
          <w:rFonts w:ascii="Calibri" w:hAnsi="Calibri"/>
          <w:color w:val="1E293B"/>
          <w:sz w:val="19"/>
        </w:rPr>
        <w:t>Certified employment roster of 26 teachers, instructors, guidance counselors, and administrative principals present on February 28, 2026;</w:t>
      </w:r>
    </w:p>
    <w:p>
      <w:pPr>
        <w:spacing w:before="40" w:after="60"/>
        <w:ind w:left="432"/>
      </w:pPr>
      <w:r>
        <w:rPr>
          <w:b/>
          <w:sz w:val="19"/>
        </w:rPr>
        <w:t xml:space="preserve">3. </w:t>
      </w:r>
      <w:r>
        <w:rPr>
          <w:rFonts w:ascii="Calibri" w:hAnsi="Calibri"/>
          <w:color w:val="1E293B"/>
          <w:sz w:val="19"/>
        </w:rPr>
        <w:t>Certified student enrollment roster confirming 146 registered primary students for the 2025–2026 academic year.</w:t>
      </w:r>
    </w:p>
    <w:p>
      <w:pPr>
        <w:spacing w:before="200" w:after="60"/>
      </w:pPr>
      <w:r>
        <w:rPr>
          <w:rFonts w:ascii="Calibri" w:hAnsi="Calibri"/>
          <w:b/>
          <w:color w:val="334155"/>
          <w:sz w:val="22"/>
        </w:rPr>
        <w:t>EXH-VIC-005.4: Certified Nominal Census of the 156 Deceased Victims</w:t>
      </w:r>
    </w:p>
    <w:p>
      <w:pPr>
        <w:pStyle w:val="ListBullet"/>
        <w:spacing w:before="20" w:after="40"/>
      </w:pPr>
      <w:r>
        <w:rPr>
          <w:rFonts w:ascii="Calibri" w:hAnsi="Calibri"/>
          <w:b/>
          <w:color w:val="1E293B"/>
          <w:sz w:val="19"/>
        </w:rPr>
        <w:t>Description:</w:t>
      </w:r>
      <w:r>
        <w:rPr>
          <w:rFonts w:ascii="Calibri" w:hAnsi="Calibri"/>
          <w:color w:val="1E293B"/>
          <w:sz w:val="19"/>
        </w:rPr>
        <w:t xml:space="preserve"> Master nominal roll compiling verified legal names, certified ages, instructional grades, and certified forensic death certificate numbers for 156 deceased victims.</w:t>
      </w:r>
    </w:p>
    <w:p>
      <w:pPr>
        <w:spacing w:before="160" w:after="40"/>
      </w:pPr>
      <w:r>
        <w:rPr>
          <w:rFonts w:ascii="Calibri" w:hAnsi="Calibri"/>
          <w:b/>
          <w:i/>
          <w:color w:val="475569"/>
          <w:sz w:val="21"/>
        </w:rPr>
        <w:t>A. Certified Sample Registry of Deceased Primary Students (Ages 7–12)</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Entry ID</w:t>
            </w:r>
          </w:p>
        </w:tc>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Verified Full Name</w:t>
            </w:r>
          </w:p>
        </w:tc>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Age</w:t>
            </w:r>
          </w:p>
        </w:tc>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Class / Grade</w:t>
            </w:r>
          </w:p>
        </w:tc>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Death Certificate No.</w:t>
            </w:r>
          </w:p>
        </w:tc>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Primary Cause of Death</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Fatemeh Derazsetar</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8</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2</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blast polytrauma / structural collapse</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Masoumeh Nazari</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9</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3</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Severe cranial shrapnel penetration</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VIC-003</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Zeinab Bahrami</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7</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PG-MNB-2026-0813</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crushing / thoracic asphyxia</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Baran Ghasemy</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10</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blast overpressure / lung rupture</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Setayesh Saleh</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Penetrating high-velocity shrapnel</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VIC-006</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Samira Malahi</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8</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PG-MNB-2026-0816</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crushing trauma</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VIC-007</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Zahra Ansarifard</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12</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6</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PG-MNB-2026-0817</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Severe thermal burns &amp; traumatic blast injuries</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VIC-008</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Mona Ahmadzadeh</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9</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3</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PG-MNB-2026-0818</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cranial avulsion</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VIC-009</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Maryam Bazara</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7</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PG-MNB-2026-0819</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collapse crushing</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VIC-010</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Athareh Zareiee</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10</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PG-MNB-2026-0820</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Penetrating abdominal shrapnel</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Neda Shahmiri</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blast polytrauma</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Sahar Salari</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8</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collapse trauma</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VIC-013</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Zeinab Makizadeh</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9</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3</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PG-MNB-2026-0823</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Severe cranial trauma</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Asra Zakeri</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7</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1</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crushing trauma</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Zahra Sharafi</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12</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6</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Blast lacerations and hemorrhage</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(Cont.)</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(105 additional verified pupil entries preserved in permanent certified database)</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7–12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Grades 1–6</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PG-MNB-2026-0826 to 0930</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Verified Forensic Pathology Records</w:t>
            </w:r>
          </w:p>
        </w:tc>
      </w:tr>
    </w:tbl>
    <w:p>
      <w:pPr>
        <w:spacing w:after="120"/>
      </w:pPr>
    </w:p>
    <w:p>
      <w:pPr>
        <w:spacing w:before="160" w:after="40"/>
      </w:pPr>
      <w:r>
        <w:rPr>
          <w:rFonts w:ascii="Calibri" w:hAnsi="Calibri"/>
          <w:b/>
          <w:i/>
          <w:color w:val="475569"/>
          <w:sz w:val="21"/>
        </w:rPr>
        <w:t>B. Certified Sample Registry of Deceased Educators &amp; Administrators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Entry ID</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Verified Full Name</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Role / Position</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Death Certificate No.</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Primary Cause of Death</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VIC-EDU-01</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Maryam Dehghani</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School Principal / Headmistress</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PG-MNB-2026-0785</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blast overpressure &amp; severe shrapnel</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VIC-EDU-02</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Tahereh Soleimani</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Vice Principal (Academic Affairs)</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PG-MNB-2026-0786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collapse crushing trauma</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VIC-EDU-03</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Roghayyeh Heydari</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1 Primary Teacher</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PG-MNB-2026-0787</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Severe thoracic penetration trauma</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VIC-EDU-04</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Fatemeh Abbasi</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2 Primary Teacher</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PG-MNB-2026-0788</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structural crushing</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VIC-EDU-05</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Somayyeh Karimi</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3 Primary Teacher</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PG-MNB-2026-0789</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Severe blast polytrauma</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Parvaneh Rostami</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Guidance Counselor / Pediatric Psychologist</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PG-MNB-2026-0790</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High-velocity casing shrapnel wounds</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(Cont.)</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(20 additional verified faculty &amp; staff entries preserved in permanent certified database)</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Certified Educational Staff</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PG-MNB-2026-0791 to 0810</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Verified Forensic Pathology Records</w:t>
            </w:r>
          </w:p>
        </w:tc>
      </w:tr>
    </w:tbl>
    <w:p>
      <w:pPr>
        <w:spacing w:after="120"/>
      </w:pPr>
    </w:p>
    <w:p>
      <w:pPr>
        <w:spacing w:before="200" w:after="60"/>
      </w:pPr>
      <w:r>
        <w:rPr>
          <w:rFonts w:ascii="Calibri" w:hAnsi="Calibri"/>
          <w:b/>
          <w:color w:val="334155"/>
          <w:sz w:val="22"/>
        </w:rPr>
        <w:t>EXH-VIC-005.5: Verified Photographic Directory &amp; Memorial Cross-Reference</w:t>
      </w:r>
    </w:p>
    <w:p>
      <w:pPr>
        <w:pStyle w:val="ListBullet"/>
        <w:spacing w:before="20" w:after="40"/>
      </w:pPr>
      <w:r>
        <w:rPr>
          <w:rFonts w:ascii="Calibri" w:hAnsi="Calibri"/>
          <w:b/>
          <w:color w:val="1E293B"/>
          <w:sz w:val="19"/>
        </w:rPr>
        <w:t>Description:</w:t>
      </w:r>
      <w:r>
        <w:rPr>
          <w:rFonts w:ascii="Calibri" w:hAnsi="Calibri"/>
          <w:color w:val="1E293B"/>
          <w:sz w:val="19"/>
        </w:rPr>
        <w:t xml:space="preserve"> Verified photographic identification cards for 100 verified child victims, mapped to certified identity numbers and public memorial profiles.</w:t>
      </w:r>
    </w:p>
    <w:p>
      <w:pPr>
        <w:pStyle w:val="ListBullet"/>
        <w:spacing w:before="20" w:after="40"/>
      </w:pPr>
      <w:r>
        <w:rPr>
          <w:rFonts w:ascii="Calibri" w:hAnsi="Calibri"/>
          <w:b/>
          <w:color w:val="1E293B"/>
          <w:sz w:val="19"/>
        </w:rPr>
        <w:t>Archival Repositories:</w:t>
      </w:r>
    </w:p>
    <w:p>
      <w:pPr>
        <w:pStyle w:val="ListBullet"/>
        <w:spacing w:before="20" w:after="40"/>
        <w:ind w:left="576"/>
      </w:pPr>
      <w:r>
        <w:rPr>
          <w:rFonts w:ascii="Calibri" w:hAnsi="Calibri"/>
          <w:color w:val="1E293B"/>
          <w:sz w:val="19"/>
        </w:rPr>
        <w:t xml:space="preserve">Master photographic database: </w:t>
      </w:r>
      <w:r>
        <w:rPr>
          <w:rFonts w:ascii="Consolas" w:hAnsi="Consolas"/>
          <w:color w:val="831843"/>
          <w:sz w:val="18"/>
        </w:rPr>
        <w:t>c:\PFP\Campaigns\minab\photo_name_mapping.json</w:t>
      </w:r>
      <w:r>
        <w:rPr>
          <w:rFonts w:ascii="Calibri" w:hAnsi="Calibri"/>
          <w:color w:val="1E293B"/>
          <w:sz w:val="19"/>
        </w:rPr>
        <w:t>;</w:t>
      </w:r>
    </w:p>
    <w:p>
      <w:pPr>
        <w:pStyle w:val="ListBullet"/>
        <w:spacing w:before="20" w:after="40"/>
        <w:ind w:left="576"/>
      </w:pPr>
      <w:r>
        <w:rPr>
          <w:rFonts w:ascii="Calibri" w:hAnsi="Calibri"/>
          <w:color w:val="1E293B"/>
          <w:sz w:val="19"/>
        </w:rPr>
        <w:t xml:space="preserve">Textual nominal census: </w:t>
      </w:r>
      <w:r>
        <w:rPr>
          <w:rFonts w:ascii="Consolas" w:hAnsi="Consolas"/>
          <w:color w:val="831843"/>
          <w:sz w:val="18"/>
        </w:rPr>
        <w:t>c:\PFP\Campaigns\minab\children_full_list.txt</w:t>
      </w:r>
      <w:r>
        <w:rPr>
          <w:rFonts w:ascii="Calibri" w:hAnsi="Calibri"/>
          <w:color w:val="1E293B"/>
          <w:sz w:val="19"/>
        </w:rPr>
        <w:t>;</w:t>
      </w:r>
    </w:p>
    <w:p>
      <w:pPr>
        <w:pStyle w:val="ListBullet"/>
        <w:spacing w:before="20" w:after="40"/>
        <w:ind w:left="576"/>
      </w:pPr>
      <w:r>
        <w:rPr>
          <w:rFonts w:ascii="Calibri" w:hAnsi="Calibri"/>
          <w:color w:val="1E293B"/>
          <w:sz w:val="19"/>
        </w:rPr>
        <w:t xml:space="preserve">Public Memorial Interface: </w:t>
      </w:r>
      <w:r>
        <w:rPr>
          <w:rFonts w:ascii="Consolas" w:hAnsi="Consolas"/>
          <w:color w:val="831843"/>
          <w:sz w:val="18"/>
        </w:rPr>
        <w:t>peopleforpeace.live/memorial.html</w:t>
      </w:r>
      <w:r>
        <w:rPr>
          <w:rFonts w:ascii="Calibri" w:hAnsi="Calibri"/>
          <w:color w:val="1E293B"/>
          <w:sz w:val="19"/>
        </w:rPr>
        <w:t>.</w:t>
      </w:r>
    </w:p>
    <w:p>
      <w:pPr>
        <w:spacing w:before="200" w:after="60"/>
      </w:pPr>
      <w:r>
        <w:rPr>
          <w:rFonts w:ascii="Calibri" w:hAnsi="Calibri"/>
          <w:b/>
          <w:color w:val="334155"/>
          <w:sz w:val="22"/>
        </w:rPr>
        <w:t>EXH-VIC-005.6 [RESERVED / PENDING FORENSIC COMPLETION]: Supplementary Biometric Files for Victims 101–156</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ANTE-MORTEM BIOMETRIC &amp; CIVIL REGISTRY VERIFICATION</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Supplementary photographic identification cards, school enrollment dossiers, and family DNA cross-matching records for the remaining 56 certified fatalities (35 pupils, 11 educational instructors, and 10 civilian maintenance/custodial staff).</w:t>
      </w:r>
    </w:p>
    <w:p>
      <w:pPr>
        <w:pStyle w:val="ListBullet"/>
        <w:spacing w:before="20" w:after="40"/>
      </w:pPr>
      <w:r>
        <w:rPr>
          <w:rFonts w:ascii="Calibri" w:hAnsi="Calibri"/>
          <w:b/>
          <w:color w:val="1E293B"/>
          <w:sz w:val="19"/>
        </w:rPr>
        <w:t>Legal Significance:</w:t>
      </w:r>
      <w:r>
        <w:rPr>
          <w:rFonts w:ascii="Calibri" w:hAnsi="Calibri"/>
          <w:color w:val="1E293B"/>
          <w:sz w:val="19"/>
        </w:rPr>
        <w:t xml:space="preserve"> Completes the individual biographical and photographic memorial record for each person killed in the attack.</w:t>
      </w:r>
    </w:p>
    <w:p>
      <w:pPr>
        <w:pStyle w:val="ListBullet"/>
        <w:spacing w:before="20" w:after="40"/>
      </w:pPr>
      <w:r>
        <w:rPr>
          <w:rFonts w:ascii="Calibri" w:hAnsi="Calibri"/>
          <w:b/>
          <w:color w:val="1E293B"/>
          <w:sz w:val="19"/>
        </w:rPr>
        <w:t>Target Custodian:</w:t>
      </w:r>
      <w:r>
        <w:rPr>
          <w:rFonts w:ascii="Calibri" w:hAnsi="Calibri"/>
          <w:color w:val="1E293B"/>
          <w:sz w:val="19"/>
        </w:rPr>
        <w:t xml:space="preserve"> Department of Family Documentation, PFPJ ry / Hormozgan Civil Registry.</w:t>
      </w:r>
    </w:p>
    <w:p>
      <w:pPr>
        <w:spacing w:before="80" w:after="80"/>
        <w:jc w:val="center"/>
      </w:pPr>
      <w:r>
        <w:rPr>
          <w:color w:val="CBD5E1"/>
        </w:rPr>
        <w:t>————————————————————————————————</w:t>
      </w:r>
    </w:p>
    <w:p>
      <w:pPr>
        <w:spacing w:before="320" w:after="80"/>
      </w:pPr>
      <w:r>
        <w:rPr>
          <w:rFonts w:ascii="Calibri" w:hAnsi="Calibri"/>
          <w:b/>
          <w:color w:val="0F172A"/>
          <w:sz w:val="30"/>
        </w:rPr>
        <w:t>EXHIBIT SERIES WIT: EYEWITNESS, SURVIVOR &amp; EXPERT TESTIMONIAL DEPOSITIONS [RESERVED]</w:t>
      </w:r>
    </w:p>
    <w:p>
      <w:pPr>
        <w:spacing w:before="200" w:after="60"/>
      </w:pPr>
      <w:r>
        <w:rPr>
          <w:rFonts w:ascii="Calibri" w:hAnsi="Calibri"/>
          <w:b/>
          <w:color w:val="334155"/>
          <w:sz w:val="22"/>
        </w:rPr>
        <w:t>EXH-WIT-007.1 [RESERVED / RULE 75 PROTECTIVE MEASURES]: Sworn Affidavits of Surviving Educational Staff</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INGESTION UNDER PROTECTIVE MEASURES PROTOCOL</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Certified video depositions and signed statutory declarations from surviving faculty members present inside Shajareh Tayyebeh School during the triple-tap strike.</w:t>
      </w:r>
    </w:p>
    <w:p>
      <w:pPr>
        <w:pStyle w:val="ListBullet"/>
        <w:spacing w:before="20" w:after="40"/>
      </w:pPr>
      <w:r>
        <w:rPr>
          <w:rFonts w:ascii="Calibri" w:hAnsi="Calibri"/>
          <w:b/>
          <w:color w:val="1E293B"/>
          <w:sz w:val="19"/>
        </w:rPr>
        <w:t>Factual Focus:</w:t>
      </w:r>
      <w:r>
        <w:rPr>
          <w:rFonts w:ascii="Calibri" w:hAnsi="Calibri"/>
          <w:color w:val="1E293B"/>
          <w:sz w:val="19"/>
        </w:rPr>
        <w:t xml:space="preserve"> First-hand accounts of morning attendance, classroom activities at 09:20 IRST, the physical impact of the first detonation, emergency evacuation attempts, and the subsequent missile impacts on the escape stairwell.</w:t>
      </w:r>
    </w:p>
    <w:p>
      <w:pPr>
        <w:pStyle w:val="ListBullet"/>
        <w:spacing w:before="20" w:after="40"/>
      </w:pPr>
      <w:r>
        <w:rPr>
          <w:rFonts w:ascii="Calibri" w:hAnsi="Calibri"/>
          <w:b/>
          <w:color w:val="1E293B"/>
          <w:sz w:val="19"/>
        </w:rPr>
        <w:t>Protective Protocol:</w:t>
      </w:r>
      <w:r>
        <w:rPr>
          <w:rFonts w:ascii="Calibri" w:hAnsi="Calibri"/>
          <w:color w:val="1E293B"/>
          <w:sz w:val="19"/>
        </w:rPr>
        <w:t xml:space="preserve"> Retained under pseudonymization and redaction pursuant to ICTY/ICTR Rule 75 standards to protect witnesses from retaliatory interference.</w:t>
      </w:r>
    </w:p>
    <w:p>
      <w:pPr>
        <w:spacing w:before="200" w:after="60"/>
      </w:pPr>
      <w:r>
        <w:rPr>
          <w:rFonts w:ascii="Calibri" w:hAnsi="Calibri"/>
          <w:b/>
          <w:color w:val="334155"/>
          <w:sz w:val="22"/>
        </w:rPr>
        <w:t>EXH-WIT-007.2 [RESERVED / RULE 75 PROTECTIVE MEASURES]: Sworn Affidavits of First Responders &amp; Emergency Surgeons</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NOTARIZED LEGAL DEPOSITION</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Sworn testimony of Iranian Red Crescent Society volunteers, Minab municipal firefighters, and trauma surgeons at Shahid Mohammadi Hospital.</w:t>
      </w:r>
    </w:p>
    <w:p>
      <w:pPr>
        <w:pStyle w:val="ListBullet"/>
        <w:spacing w:before="20" w:after="40"/>
      </w:pPr>
      <w:r>
        <w:rPr>
          <w:rFonts w:ascii="Calibri" w:hAnsi="Calibri"/>
          <w:b/>
          <w:color w:val="1E293B"/>
          <w:sz w:val="19"/>
        </w:rPr>
        <w:t>Factual Focus:</w:t>
      </w:r>
      <w:r>
        <w:rPr>
          <w:rFonts w:ascii="Calibri" w:hAnsi="Calibri"/>
          <w:color w:val="1E293B"/>
          <w:sz w:val="19"/>
        </w:rPr>
        <w:t xml:space="preserve"> Chronology of first-responder arrival, recovery of bodies from pulverized concrete rubble, management of catastrophic pediatric blast trauma, and clinical observations regarding chemical and thermal injuries.</w:t>
      </w:r>
    </w:p>
    <w:p>
      <w:pPr>
        <w:spacing w:before="200" w:after="60"/>
      </w:pPr>
      <w:r>
        <w:rPr>
          <w:rFonts w:ascii="Calibri" w:hAnsi="Calibri"/>
          <w:b/>
          <w:color w:val="334155"/>
          <w:sz w:val="22"/>
        </w:rPr>
        <w:t>EXH-WIT-007.3 [RESERVED / RULE 75 PROTECTIVE MEASURES]: Bereaved Family Victim Impact &amp; Guardianship Affidavits</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COMPILATION UNDERWAY FOR STATE REPARATION PROCEEDINGS</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Certified Victim Impact Statements (VIS), legal heirship declarations, and psychological trauma evaluations from the immediate family members and legal guardians of the deceased primary students.</w:t>
      </w:r>
    </w:p>
    <w:p>
      <w:pPr>
        <w:pStyle w:val="ListBullet"/>
        <w:spacing w:before="20" w:after="40"/>
      </w:pPr>
      <w:r>
        <w:rPr>
          <w:rFonts w:ascii="Calibri" w:hAnsi="Calibri"/>
          <w:b/>
          <w:color w:val="1E293B"/>
          <w:sz w:val="19"/>
        </w:rPr>
        <w:t>Factual Focus:</w:t>
      </w:r>
      <w:r>
        <w:rPr>
          <w:rFonts w:ascii="Calibri" w:hAnsi="Calibri"/>
          <w:color w:val="1E293B"/>
          <w:sz w:val="19"/>
        </w:rPr>
        <w:t xml:space="preserve"> Documentation of psychological, social, and economic devastation to establish the foundation for direct state financial compensation under ILC ARSIWA Article 36 and European universal jurisdiction victim standing.</w:t>
      </w:r>
    </w:p>
    <w:p>
      <w:pPr>
        <w:spacing w:before="80" w:after="80"/>
        <w:jc w:val="center"/>
      </w:pPr>
      <w:r>
        <w:rPr>
          <w:color w:val="CBD5E1"/>
        </w:rPr>
        <w:t>————————————————————————————————</w:t>
      </w:r>
    </w:p>
    <w:p>
      <w:pPr>
        <w:spacing w:before="320" w:after="80"/>
      </w:pPr>
      <w:r>
        <w:rPr>
          <w:rFonts w:ascii="Calibri" w:hAnsi="Calibri"/>
          <w:b/>
          <w:color w:val="0F172A"/>
          <w:sz w:val="30"/>
        </w:rPr>
        <w:t>EXHIBIT SERIES OSINT: INDEPENDENT INVESTIGATIVE &amp; MEDIA REPORTS ARCHIVE</w:t>
      </w:r>
    </w:p>
    <w:p>
      <w:pPr>
        <w:spacing w:before="200" w:after="60"/>
      </w:pPr>
      <w:r>
        <w:rPr>
          <w:rFonts w:ascii="Calibri" w:hAnsi="Calibri"/>
          <w:b/>
          <w:color w:val="334155"/>
          <w:sz w:val="22"/>
        </w:rPr>
        <w:t>EXH-OSINT-006.1: Tier 1 Major Investigative Reports (NYT, BBC Verify, WaPo, CBC, Bellingcat)</w:t>
      </w:r>
    </w:p>
    <w:p>
      <w:pPr>
        <w:pStyle w:val="ListBullet"/>
        <w:spacing w:before="20" w:after="40"/>
      </w:pPr>
      <w:r>
        <w:rPr>
          <w:rFonts w:ascii="Calibri" w:hAnsi="Calibri"/>
          <w:b/>
          <w:color w:val="1E293B"/>
          <w:sz w:val="19"/>
        </w:rPr>
        <w:t>Description:</w:t>
      </w:r>
      <w:r>
        <w:rPr>
          <w:rFonts w:ascii="Calibri" w:hAnsi="Calibri"/>
          <w:color w:val="1E293B"/>
          <w:sz w:val="19"/>
        </w:rPr>
        <w:t xml:space="preserve"> Certified compendium of major independent open-source investigative reports published by international news organizations and research consortiums (archived in </w:t>
      </w:r>
      <w:r>
        <w:rPr>
          <w:rFonts w:ascii="Calibri" w:hAnsi="Calibri"/>
          <w:color w:val="2563EB"/>
          <w:sz w:val="19"/>
          <w:u w:val="single"/>
        </w:rPr>
        <w:t>`investigative_reports.md`</w:t>
      </w:r>
      <w:r>
        <w:rPr>
          <w:rFonts w:ascii="Calibri" w:hAnsi="Calibri"/>
          <w:color w:val="1E293B"/>
          <w:sz w:val="19"/>
        </w:rPr>
        <w:t>).</w:t>
      </w:r>
    </w:p>
    <w:p>
      <w:pPr>
        <w:pStyle w:val="ListBullet"/>
        <w:spacing w:before="20" w:after="40"/>
      </w:pPr>
      <w:r>
        <w:rPr>
          <w:rFonts w:ascii="Calibri" w:hAnsi="Calibri"/>
          <w:b/>
          <w:color w:val="1E293B"/>
          <w:sz w:val="19"/>
        </w:rPr>
        <w:t>Key Investigative Findings Catalogued:</w:t>
      </w:r>
    </w:p>
    <w:p>
      <w:pPr>
        <w:spacing w:before="40" w:after="60"/>
        <w:ind w:left="432"/>
      </w:pPr>
      <w:r>
        <w:rPr>
          <w:b/>
          <w:sz w:val="19"/>
        </w:rPr>
        <w:t xml:space="preserve">1. </w:t>
      </w:r>
      <w:r>
        <w:rPr>
          <w:rFonts w:ascii="Calibri" w:hAnsi="Calibri"/>
          <w:b/>
          <w:color w:val="1E293B"/>
          <w:sz w:val="19"/>
        </w:rPr>
        <w:t>The New York Times (Visual Investigation — March 11, 2026):</w:t>
      </w:r>
      <w:r>
        <w:rPr>
          <w:rFonts w:ascii="Calibri" w:hAnsi="Calibri"/>
          <w:color w:val="1E293B"/>
          <w:sz w:val="19"/>
        </w:rPr>
        <w:t xml:space="preserve"> Verified strike aftermath footage; confirmed CENTCOM generated strike coordinates using obsolete DIA data; first to report preliminary US internal military admissions of responsibility;</w:t>
      </w:r>
    </w:p>
    <w:p>
      <w:pPr>
        <w:spacing w:before="40" w:after="60"/>
        <w:ind w:left="432"/>
      </w:pPr>
      <w:r>
        <w:rPr>
          <w:b/>
          <w:sz w:val="19"/>
        </w:rPr>
        <w:t xml:space="preserve">2. </w:t>
      </w:r>
      <w:r>
        <w:rPr>
          <w:rFonts w:ascii="Calibri" w:hAnsi="Calibri"/>
          <w:b/>
          <w:color w:val="1E293B"/>
          <w:sz w:val="19"/>
        </w:rPr>
        <w:t>BBC Verify (Satellite &amp; Munitions Analysis — Early March 2026):</w:t>
      </w:r>
      <w:r>
        <w:rPr>
          <w:rFonts w:ascii="Calibri" w:hAnsi="Calibri"/>
          <w:color w:val="1E293B"/>
          <w:sz w:val="19"/>
        </w:rPr>
        <w:t xml:space="preserve"> Confirmed multiple impact sites; identified the triple-tap strike pattern; verified BGM-109 Tomahawk cruise missile fragments;</w:t>
      </w:r>
    </w:p>
    <w:p>
      <w:pPr>
        <w:spacing w:before="40" w:after="60"/>
        <w:ind w:left="432"/>
      </w:pPr>
      <w:r>
        <w:rPr>
          <w:b/>
          <w:sz w:val="19"/>
        </w:rPr>
        <w:t xml:space="preserve">3. </w:t>
      </w:r>
      <w:r>
        <w:rPr>
          <w:rFonts w:ascii="Calibri" w:hAnsi="Calibri"/>
          <w:b/>
          <w:color w:val="1E293B"/>
          <w:sz w:val="19"/>
        </w:rPr>
        <w:t>The Washington Post (Targeting Chain Investigation — March 2026):</w:t>
      </w:r>
      <w:r>
        <w:rPr>
          <w:rFonts w:ascii="Calibri" w:hAnsi="Calibri"/>
          <w:color w:val="1E293B"/>
          <w:sz w:val="19"/>
        </w:rPr>
        <w:t xml:space="preserve"> Confirmed the school was on the US target nomination list; proved school was physically walled off from IRGC compound since 2016; linked strike to the dismantling of Pentagon civilian harm mitigation programs;</w:t>
      </w:r>
    </w:p>
    <w:p>
      <w:pPr>
        <w:spacing w:before="40" w:after="60"/>
        <w:ind w:left="432"/>
      </w:pPr>
      <w:r>
        <w:rPr>
          <w:b/>
          <w:sz w:val="19"/>
        </w:rPr>
        <w:t xml:space="preserve">4. </w:t>
      </w:r>
      <w:r>
        <w:rPr>
          <w:rFonts w:ascii="Calibri" w:hAnsi="Calibri"/>
          <w:b/>
          <w:color w:val="1E293B"/>
          <w:sz w:val="19"/>
        </w:rPr>
        <w:t>CBC News (Visual Investigation &amp; Senate Record — March 2026):</w:t>
      </w:r>
      <w:r>
        <w:rPr>
          <w:rFonts w:ascii="Calibri" w:hAnsi="Calibri"/>
          <w:color w:val="1E293B"/>
          <w:sz w:val="19"/>
        </w:rPr>
        <w:t xml:space="preserve"> Detailed analysis of precision strike trajectory; verified the school was a former IRGC building converted a decade prior;</w:t>
      </w:r>
    </w:p>
    <w:p>
      <w:pPr>
        <w:spacing w:before="40" w:after="60"/>
        <w:ind w:left="432"/>
      </w:pPr>
      <w:r>
        <w:rPr>
          <w:b/>
          <w:sz w:val="19"/>
        </w:rPr>
        <w:t xml:space="preserve">5. </w:t>
      </w:r>
      <w:r>
        <w:rPr>
          <w:rFonts w:ascii="Calibri" w:hAnsi="Calibri"/>
          <w:b/>
          <w:color w:val="1E293B"/>
          <w:sz w:val="19"/>
        </w:rPr>
        <w:t>Bellingcat (OSINT Munitions Forensics — Trevor Ball):</w:t>
      </w:r>
      <w:r>
        <w:rPr>
          <w:rFonts w:ascii="Calibri" w:hAnsi="Calibri"/>
          <w:color w:val="1E293B"/>
          <w:sz w:val="19"/>
        </w:rPr>
        <w:t xml:space="preserve"> Geolocated video footage; definitively attributed munition debris to US-manufactured BGM-109 Tomahawk, refuting official initial denials;</w:t>
      </w:r>
    </w:p>
    <w:p>
      <w:pPr>
        <w:spacing w:before="40" w:after="60"/>
        <w:ind w:left="432"/>
      </w:pPr>
      <w:r>
        <w:rPr>
          <w:b/>
          <w:sz w:val="19"/>
        </w:rPr>
        <w:t xml:space="preserve">6. </w:t>
      </w:r>
      <w:r>
        <w:rPr>
          <w:rFonts w:ascii="Calibri" w:hAnsi="Calibri"/>
          <w:b/>
          <w:color w:val="1E293B"/>
          <w:sz w:val="19"/>
        </w:rPr>
        <w:t>Bloomberg News (Visual Investigation — September 18, 2026, by Ben Bartenstein &amp; Krishna Karra):</w:t>
      </w:r>
      <w:r>
        <w:rPr>
          <w:rFonts w:ascii="Calibri" w:hAnsi="Calibri"/>
          <w:color w:val="1E293B"/>
          <w:sz w:val="19"/>
        </w:rPr>
        <w:t xml:space="preserve"> </w:t>
      </w:r>
      <w:r>
        <w:rPr>
          <w:rFonts w:ascii="Calibri" w:hAnsi="Calibri"/>
          <w:i/>
          <w:color w:val="1E293B"/>
          <w:sz w:val="19"/>
        </w:rPr>
        <w:t>"Inside US Military ‘Kill Chain’ That Destroyed an Iranian School"</w:t>
      </w:r>
      <w:r>
        <w:rPr>
          <w:rFonts w:ascii="Calibri" w:hAnsi="Calibri"/>
          <w:color w:val="1E293B"/>
          <w:sz w:val="19"/>
        </w:rPr>
        <w:t xml:space="preserve"> — Comprehensive technical and operational forensic reconstruction of the AI targeting pipeline; detailed the deployment of Palantir’s Maven Smart System and Anthropic’s Claude AI; exposed extreme kill-chain time compression across &gt;1,000 Day 1 strikes; documented that the CENTCOM Civilian Harm Mitigation team was gutted from 10 analysts to 1; and proved that disconnected intelligence databases failed to synchronize the school's ten-year civilian conversion into Maven's operational targeting layer.</w:t>
      </w:r>
    </w:p>
    <w:p>
      <w:pPr>
        <w:spacing w:before="200" w:after="60"/>
      </w:pPr>
      <w:r>
        <w:rPr>
          <w:rFonts w:ascii="Calibri" w:hAnsi="Calibri"/>
          <w:b/>
          <w:color w:val="334155"/>
          <w:sz w:val="22"/>
        </w:rPr>
        <w:t>EXH-OSINT-006.2: Tier 2 Legal Analyses &amp; NGO Findings (HRW, Amnesty International, New Lines)</w:t>
      </w:r>
    </w:p>
    <w:p>
      <w:pPr>
        <w:pStyle w:val="ListBullet"/>
        <w:spacing w:before="20" w:after="40"/>
      </w:pPr>
      <w:r>
        <w:rPr>
          <w:rFonts w:ascii="Calibri" w:hAnsi="Calibri"/>
          <w:b/>
          <w:color w:val="1E293B"/>
          <w:sz w:val="19"/>
        </w:rPr>
        <w:t>Description:</w:t>
      </w:r>
      <w:r>
        <w:rPr>
          <w:rFonts w:ascii="Calibri" w:hAnsi="Calibri"/>
          <w:color w:val="1E293B"/>
          <w:sz w:val="19"/>
        </w:rPr>
        <w:t xml:space="preserve"> Legal assessments and field determinations published by international non-governmental human rights organizations and legal think tanks.</w:t>
      </w:r>
    </w:p>
    <w:p>
      <w:pPr>
        <w:pStyle w:val="ListBullet"/>
        <w:spacing w:before="20" w:after="40"/>
      </w:pPr>
      <w:r>
        <w:rPr>
          <w:rFonts w:ascii="Calibri" w:hAnsi="Calibri"/>
          <w:b/>
          <w:color w:val="1E293B"/>
          <w:sz w:val="19"/>
        </w:rPr>
        <w:t>Core Legal Conclusions Catalogued:</w:t>
      </w:r>
    </w:p>
    <w:p>
      <w:pPr>
        <w:spacing w:before="40" w:after="60"/>
        <w:ind w:left="432"/>
      </w:pPr>
      <w:r>
        <w:rPr>
          <w:b/>
          <w:sz w:val="19"/>
        </w:rPr>
        <w:t xml:space="preserve">1. </w:t>
      </w:r>
      <w:r>
        <w:rPr>
          <w:rFonts w:ascii="Calibri" w:hAnsi="Calibri"/>
          <w:b/>
          <w:color w:val="1E293B"/>
          <w:sz w:val="19"/>
        </w:rPr>
        <w:t>Human Rights Watch (War Crime Assessment):</w:t>
      </w:r>
      <w:r>
        <w:rPr>
          <w:rFonts w:ascii="Calibri" w:hAnsi="Calibri"/>
          <w:color w:val="1E293B"/>
          <w:sz w:val="19"/>
        </w:rPr>
        <w:t xml:space="preserve"> Characterized the attack as an apparent war crime demanding an independent international investigation; verified physical partitioning of the school since 2016;</w:t>
      </w:r>
    </w:p>
    <w:p>
      <w:pPr>
        <w:spacing w:before="40" w:after="60"/>
        <w:ind w:left="432"/>
      </w:pPr>
      <w:r>
        <w:rPr>
          <w:b/>
          <w:sz w:val="19"/>
        </w:rPr>
        <w:t xml:space="preserve">2. </w:t>
      </w:r>
      <w:r>
        <w:rPr>
          <w:rFonts w:ascii="Calibri" w:hAnsi="Calibri"/>
          <w:b/>
          <w:color w:val="1E293B"/>
          <w:sz w:val="19"/>
        </w:rPr>
        <w:t>Amnesty International (IHL Violation Determination):</w:t>
      </w:r>
      <w:r>
        <w:rPr>
          <w:rFonts w:ascii="Calibri" w:hAnsi="Calibri"/>
          <w:color w:val="1E293B"/>
          <w:sz w:val="19"/>
        </w:rPr>
        <w:t xml:space="preserve"> Declared the strike an "absolute violation of international law" and attributed direct responsibility to the United States;</w:t>
      </w:r>
    </w:p>
    <w:p>
      <w:pPr>
        <w:spacing w:before="40" w:after="60"/>
        <w:ind w:left="432"/>
      </w:pPr>
      <w:r>
        <w:rPr>
          <w:b/>
          <w:sz w:val="19"/>
        </w:rPr>
        <w:t xml:space="preserve">3. </w:t>
      </w:r>
      <w:r>
        <w:rPr>
          <w:rFonts w:ascii="Calibri" w:hAnsi="Calibri"/>
          <w:b/>
          <w:color w:val="1E293B"/>
          <w:sz w:val="19"/>
        </w:rPr>
        <w:t>New Lines Institute (IHL Target Analysis):</w:t>
      </w:r>
      <w:r>
        <w:rPr>
          <w:rFonts w:ascii="Calibri" w:hAnsi="Calibri"/>
          <w:color w:val="1E293B"/>
          <w:sz w:val="19"/>
        </w:rPr>
        <w:t xml:space="preserve"> Established that the strike violated the core principles of distinction, proportionality, and precaution, and noted that publicly available commercial data could have easily confirmed the facility's civilian character.</w:t>
      </w:r>
    </w:p>
    <w:p>
      <w:pPr>
        <w:spacing w:before="80" w:after="80"/>
        <w:jc w:val="center"/>
      </w:pPr>
      <w:r>
        <w:rPr>
          <w:color w:val="CBD5E1"/>
        </w:rPr>
        <w:t>————————————————————————————————</w:t>
      </w:r>
    </w:p>
    <w:p>
      <w:pPr>
        <w:spacing w:before="320" w:after="80"/>
      </w:pPr>
      <w:r>
        <w:rPr>
          <w:rFonts w:ascii="Calibri" w:hAnsi="Calibri"/>
          <w:b/>
          <w:color w:val="0F172A"/>
          <w:sz w:val="30"/>
        </w:rPr>
        <w:t>EXHIBIT SERIES UN: UNITED NATIONS INTERGOVERNMENTAL FACT-FINDING ARCHIVE</w:t>
      </w:r>
    </w:p>
    <w:p>
      <w:pPr>
        <w:spacing w:before="200" w:after="60"/>
      </w:pPr>
      <w:r>
        <w:rPr>
          <w:rFonts w:ascii="Calibri" w:hAnsi="Calibri"/>
          <w:b/>
          <w:color w:val="334155"/>
          <w:sz w:val="22"/>
        </w:rPr>
        <w:t>EXH-UN-008.1: Independent International Fact-Finding Mission on the Islamic Republic of Iran Report (UN Doc. A/HRC/63/61 — September 17, 2026)</w:t>
      </w:r>
    </w:p>
    <w:p>
      <w:pPr>
        <w:pStyle w:val="ListBullet"/>
        <w:spacing w:before="20" w:after="40"/>
      </w:pPr>
      <w:r>
        <w:rPr>
          <w:rFonts w:ascii="Calibri" w:hAnsi="Calibri"/>
          <w:b/>
          <w:color w:val="1E293B"/>
          <w:sz w:val="19"/>
        </w:rPr>
        <w:t>Description:</w:t>
      </w:r>
      <w:r>
        <w:rPr>
          <w:rFonts w:ascii="Calibri" w:hAnsi="Calibri"/>
          <w:color w:val="1E293B"/>
          <w:sz w:val="19"/>
        </w:rPr>
        <w:t xml:space="preserve"> Official Report of the Independent International Fact-Finding Mission on the Islamic Republic of Iran, presented to the United Nations Human Rights Council at its 63rd Regular Session (mandated under HRC Resolution S-39/1).</w:t>
      </w:r>
    </w:p>
    <w:p>
      <w:pPr>
        <w:pStyle w:val="ListBullet"/>
        <w:spacing w:before="20" w:after="40"/>
      </w:pPr>
      <w:r>
        <w:rPr>
          <w:rFonts w:ascii="Calibri" w:hAnsi="Calibri"/>
          <w:b/>
          <w:color w:val="1E293B"/>
          <w:sz w:val="19"/>
        </w:rPr>
        <w:t>Authentic UN Symbol &amp; Reference:</w:t>
      </w:r>
      <w:r>
        <w:rPr>
          <w:rFonts w:ascii="Calibri" w:hAnsi="Calibri"/>
          <w:color w:val="1E293B"/>
          <w:sz w:val="19"/>
        </w:rPr>
        <w:t xml:space="preserve"> </w:t>
      </w:r>
      <w:r>
        <w:rPr>
          <w:rFonts w:ascii="Consolas" w:hAnsi="Consolas"/>
          <w:color w:val="831843"/>
          <w:sz w:val="18"/>
        </w:rPr>
        <w:t>UN Doc. A/HRC/63/61</w:t>
      </w:r>
      <w:r>
        <w:rPr>
          <w:rFonts w:ascii="Calibri" w:hAnsi="Calibri"/>
          <w:color w:val="1E293B"/>
          <w:sz w:val="19"/>
        </w:rPr>
        <w:t xml:space="preserve"> (</w:t>
      </w:r>
      <w:r>
        <w:rPr>
          <w:rFonts w:ascii="Calibri" w:hAnsi="Calibri"/>
          <w:i/>
          <w:color w:val="1E293B"/>
          <w:sz w:val="19"/>
        </w:rPr>
        <w:t>Advance Edited Version: a-hrc-63-61-aev.pdf</w:t>
      </w:r>
      <w:r>
        <w:rPr>
          <w:rFonts w:ascii="Calibri" w:hAnsi="Calibri"/>
          <w:color w:val="1E293B"/>
          <w:sz w:val="19"/>
        </w:rPr>
        <w:t>).</w:t>
      </w:r>
    </w:p>
    <w:p>
      <w:pPr>
        <w:pStyle w:val="ListBullet"/>
        <w:spacing w:before="20" w:after="40"/>
      </w:pPr>
      <w:r>
        <w:rPr>
          <w:rFonts w:ascii="Calibri" w:hAnsi="Calibri"/>
          <w:b/>
          <w:color w:val="1E293B"/>
          <w:sz w:val="19"/>
        </w:rPr>
        <w:t>Core Intergovernmental Findings Catalogued:</w:t>
      </w:r>
    </w:p>
    <w:p>
      <w:pPr>
        <w:spacing w:before="40" w:after="60"/>
        <w:ind w:left="432"/>
      </w:pPr>
      <w:r>
        <w:rPr>
          <w:b/>
          <w:sz w:val="19"/>
        </w:rPr>
        <w:t xml:space="preserve">1. </w:t>
      </w:r>
      <w:r>
        <w:rPr>
          <w:rFonts w:ascii="Calibri" w:hAnsi="Calibri"/>
          <w:b/>
          <w:color w:val="1E293B"/>
          <w:sz w:val="19"/>
        </w:rPr>
        <w:t>War Crimes Determination:</w:t>
      </w:r>
      <w:r>
        <w:rPr>
          <w:rFonts w:ascii="Calibri" w:hAnsi="Calibri"/>
          <w:color w:val="1E293B"/>
          <w:sz w:val="19"/>
        </w:rPr>
        <w:t xml:space="preserve"> Formally concluded under the "reasonable grounds to believe" standard that the United States committed </w:t>
      </w:r>
      <w:r>
        <w:rPr>
          <w:rFonts w:ascii="Calibri" w:hAnsi="Calibri"/>
          <w:b/>
          <w:color w:val="1E293B"/>
          <w:sz w:val="19"/>
        </w:rPr>
        <w:t>war crimes</w:t>
      </w:r>
      <w:r>
        <w:rPr>
          <w:rFonts w:ascii="Calibri" w:hAnsi="Calibri"/>
          <w:color w:val="1E293B"/>
          <w:sz w:val="19"/>
        </w:rPr>
        <w:t xml:space="preserve"> during kinetic operations in Iran on February 28, 2026;</w:t>
      </w:r>
    </w:p>
    <w:p>
      <w:pPr>
        <w:spacing w:before="40" w:after="60"/>
        <w:ind w:left="432"/>
      </w:pPr>
      <w:r>
        <w:rPr>
          <w:b/>
          <w:sz w:val="19"/>
        </w:rPr>
        <w:t xml:space="preserve">2. </w:t>
      </w:r>
      <w:r>
        <w:rPr>
          <w:rFonts w:ascii="Calibri" w:hAnsi="Calibri"/>
          <w:b/>
          <w:color w:val="1E293B"/>
          <w:sz w:val="19"/>
        </w:rPr>
        <w:t>Minab School Strike (Shajareh Tayyebeh):</w:t>
      </w:r>
      <w:r>
        <w:rPr>
          <w:rFonts w:ascii="Calibri" w:hAnsi="Calibri"/>
          <w:color w:val="1E293B"/>
          <w:sz w:val="19"/>
        </w:rPr>
        <w:t xml:space="preserve"> Established that US armed forces launched an </w:t>
      </w:r>
      <w:r>
        <w:rPr>
          <w:rFonts w:ascii="Calibri" w:hAnsi="Calibri"/>
          <w:b/>
          <w:color w:val="1E293B"/>
          <w:sz w:val="19"/>
        </w:rPr>
        <w:t>unlawful indiscriminate attack</w:t>
      </w:r>
      <w:r>
        <w:rPr>
          <w:rFonts w:ascii="Calibri" w:hAnsi="Calibri"/>
          <w:color w:val="1E293B"/>
          <w:sz w:val="19"/>
        </w:rPr>
        <w:t xml:space="preserve"> against the Shajareh Tayyebeh Primary School in Minab, resulting in over 120 verified child fatalities and the deaths of educators and civilian staff;</w:t>
      </w:r>
    </w:p>
    <w:p>
      <w:pPr>
        <w:spacing w:before="40" w:after="60"/>
        <w:ind w:left="432"/>
      </w:pPr>
      <w:r>
        <w:rPr>
          <w:b/>
          <w:sz w:val="19"/>
        </w:rPr>
        <w:t xml:space="preserve">3. </w:t>
      </w:r>
      <w:r>
        <w:rPr>
          <w:rFonts w:ascii="Calibri" w:hAnsi="Calibri"/>
          <w:b/>
          <w:color w:val="1E293B"/>
          <w:sz w:val="19"/>
        </w:rPr>
        <w:t>Protected Civilian Sanctuary:</w:t>
      </w:r>
      <w:r>
        <w:rPr>
          <w:rFonts w:ascii="Calibri" w:hAnsi="Calibri"/>
          <w:color w:val="1E293B"/>
          <w:sz w:val="19"/>
        </w:rPr>
        <w:t xml:space="preserve"> Confirmed that the school was a </w:t>
      </w:r>
      <w:r>
        <w:rPr>
          <w:rFonts w:ascii="Calibri" w:hAnsi="Calibri"/>
          <w:i/>
          <w:color w:val="1E293B"/>
          <w:sz w:val="19"/>
        </w:rPr>
        <w:t>"clearly identifiable educational institution dedicated to children,"</w:t>
      </w:r>
      <w:r>
        <w:rPr>
          <w:rFonts w:ascii="Calibri" w:hAnsi="Calibri"/>
          <w:color w:val="1E293B"/>
          <w:sz w:val="19"/>
        </w:rPr>
        <w:t xml:space="preserve"> entirely devoid of military personnel or legitimate military utility;</w:t>
      </w:r>
    </w:p>
    <w:p>
      <w:pPr>
        <w:spacing w:before="40" w:after="60"/>
        <w:ind w:left="432"/>
      </w:pPr>
      <w:r>
        <w:rPr>
          <w:b/>
          <w:sz w:val="19"/>
        </w:rPr>
        <w:t xml:space="preserve">4. </w:t>
      </w:r>
      <w:r>
        <w:rPr>
          <w:rFonts w:ascii="Calibri" w:hAnsi="Calibri"/>
          <w:b/>
          <w:color w:val="1E293B"/>
          <w:sz w:val="19"/>
        </w:rPr>
        <w:t>Reckless Failure of Feasible Precautions:</w:t>
      </w:r>
      <w:r>
        <w:rPr>
          <w:rFonts w:ascii="Calibri" w:hAnsi="Calibri"/>
          <w:color w:val="1E293B"/>
          <w:sz w:val="19"/>
        </w:rPr>
        <w:t xml:space="preserve"> Determined that US forces breached their affirmative legal duty under Additional Protocol I, Article 57, by relying upon unverified historical entries in targeting databases without conducting real-time verification before striking.</w:t>
      </w:r>
    </w:p>
    <w:p>
      <w:pPr>
        <w:spacing w:before="80" w:after="80"/>
        <w:jc w:val="center"/>
      </w:pPr>
      <w:r>
        <w:rPr>
          <w:color w:val="CBD5E1"/>
        </w:rPr>
        <w:t>————————————————————————————————</w:t>
      </w:r>
    </w:p>
    <w:p>
      <w:pPr>
        <w:spacing w:before="320" w:after="80"/>
      </w:pPr>
      <w:r>
        <w:rPr>
          <w:rFonts w:ascii="Calibri" w:hAnsi="Calibri"/>
          <w:b/>
          <w:color w:val="0F172A"/>
          <w:sz w:val="30"/>
        </w:rPr>
        <w:t>RESERVED EVIDENTIARY DOCKETS &amp; PENDING DISCOVERY PROTOCOL (RULE 54bis)</w:t>
      </w:r>
    </w:p>
    <w:p>
      <w:pPr>
        <w:spacing w:before="40" w:after="60"/>
        <w:ind w:left="432"/>
      </w:pPr>
      <w:r>
        <w:rPr>
          <w:b/>
          <w:sz w:val="19"/>
        </w:rPr>
        <w:t xml:space="preserve">1. </w:t>
      </w:r>
      <w:r>
        <w:rPr>
          <w:rFonts w:ascii="Calibri" w:hAnsi="Calibri"/>
          <w:b/>
          <w:color w:val="1E293B"/>
          <w:sz w:val="19"/>
        </w:rPr>
        <w:t>Procedural Foundation:</w:t>
      </w:r>
    </w:p>
    <w:p>
      <w:pPr>
        <w:pStyle w:val="ListBullet"/>
        <w:spacing w:before="20" w:after="40"/>
        <w:ind w:left="576"/>
      </w:pPr>
      <w:r>
        <w:rPr>
          <w:rFonts w:ascii="Calibri" w:hAnsi="Calibri"/>
          <w:color w:val="1E293B"/>
          <w:sz w:val="19"/>
        </w:rPr>
        <w:t xml:space="preserve">International criminal practice recognizes that complex conflict investigations require progressive evidence management. Pursuant to </w:t>
      </w:r>
      <w:r>
        <w:rPr>
          <w:rFonts w:ascii="Calibri" w:hAnsi="Calibri"/>
          <w:b/>
          <w:color w:val="1E293B"/>
          <w:sz w:val="19"/>
        </w:rPr>
        <w:t>Rule 54bis of the ICTY Rules of Procedure and Evidence</w:t>
      </w:r>
      <w:r>
        <w:rPr>
          <w:rFonts w:ascii="Calibri" w:hAnsi="Calibri"/>
          <w:color w:val="1E293B"/>
          <w:sz w:val="19"/>
        </w:rPr>
        <w:t xml:space="preserve"> (</w:t>
      </w:r>
      <w:r>
        <w:rPr>
          <w:rFonts w:ascii="Calibri" w:hAnsi="Calibri"/>
          <w:i/>
          <w:color w:val="1E293B"/>
          <w:sz w:val="19"/>
        </w:rPr>
        <w:t>Orders Directed to States for the Production of Documents</w:t>
      </w:r>
      <w:r>
        <w:rPr>
          <w:rFonts w:ascii="Calibri" w:hAnsi="Calibri"/>
          <w:color w:val="1E293B"/>
          <w:sz w:val="19"/>
        </w:rPr>
        <w:t xml:space="preserve">) and </w:t>
      </w:r>
      <w:r>
        <w:rPr>
          <w:rFonts w:ascii="Calibri" w:hAnsi="Calibri"/>
          <w:b/>
          <w:color w:val="1E293B"/>
          <w:sz w:val="19"/>
        </w:rPr>
        <w:t>Rule 98</w:t>
      </w:r>
      <w:r>
        <w:rPr>
          <w:rFonts w:ascii="Calibri" w:hAnsi="Calibri"/>
          <w:color w:val="1E293B"/>
          <w:sz w:val="19"/>
        </w:rPr>
        <w:t xml:space="preserve"> (</w:t>
      </w:r>
      <w:r>
        <w:rPr>
          <w:rFonts w:ascii="Calibri" w:hAnsi="Calibri"/>
          <w:i/>
          <w:color w:val="1E293B"/>
          <w:sz w:val="19"/>
        </w:rPr>
        <w:t>Power of Chambers to Order Production of Additional Evidence</w:t>
      </w:r>
      <w:r>
        <w:rPr>
          <w:rFonts w:ascii="Calibri" w:hAnsi="Calibri"/>
          <w:color w:val="1E293B"/>
          <w:sz w:val="19"/>
        </w:rPr>
        <w:t>), this compendium formally reserves docket slots for evidence that is subject to mandatory state disclosure or specialized scientific analysis.</w:t>
      </w:r>
    </w:p>
    <w:p>
      <w:pPr>
        <w:spacing w:before="40" w:after="60"/>
        <w:ind w:left="432"/>
      </w:pPr>
      <w:r>
        <w:rPr>
          <w:b/>
          <w:sz w:val="19"/>
        </w:rPr>
        <w:t xml:space="preserve">2. </w:t>
      </w:r>
      <w:r>
        <w:rPr>
          <w:rFonts w:ascii="Calibri" w:hAnsi="Calibri"/>
          <w:b/>
          <w:color w:val="1E293B"/>
          <w:sz w:val="19"/>
        </w:rPr>
        <w:t>Master Schedule of Reserved Evidentiary Dockets: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Reserved Docket ID</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Subject Matter &amp; Evidentiary Focus</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Target Authority / Custodian</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Required Procedural Mechanism</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EXH-SAT-001.6</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Classified NRO KH-11 Overhead Satellite Reconnaissance Feeds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National Reconnaissance Office (NRO) / NGA</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Congressional Subpoena / UN Inquiry Request</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EXH-MUN-002.6</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BGM-109 Block IV/V Satellite Telemetry &amp; DSMAC Video Stream</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Navy NAVAIR / Strike Operations Center</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Federal Court Discovery / ICJ Order</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EXH-MUN-002.7</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Crater Soil Core Chemical Spectrometry (PBXN-107 Residue)</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Certified Independent European Laboratory</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Ongoing Forensic Laboratory Spectrometry</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EXH-LAUNCH-003.5</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Primary Air Defense Radar Tracks &amp; Signal Intercept Logs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Regional Civil &amp; Military Air Defense Authorities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Letters Rogatory (</w:t>
            </w:r>
            <w:r>
              <w:rPr>
                <w:rFonts w:ascii="Calibri" w:hAnsi="Calibri"/>
                <w:i/>
                <w:color w:val="1E293B"/>
                <w:sz w:val="17"/>
              </w:rPr>
              <w:t>Oikeusapupyyntö</w:t>
            </w:r>
            <w:r>
              <w:rPr>
                <w:rFonts w:ascii="Calibri" w:hAnsi="Calibri"/>
                <w:color w:val="1E293B"/>
                <w:sz w:val="17"/>
              </w:rPr>
              <w:t>)</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EXH-CENTCOM-004.5</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Complete Unredacted CENTCOM AR 15-6 Investigation Report</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Central Command / DoD Inspector General</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FOIA Judicial Petition / Subpoena Duces Tecum</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EXH-VIC-005.6</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Supplementary Biometric Profiles for Victims 101 through 156</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Hormozgan Civil Registry / PFPJ ry Family Bureau</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Ongoing Ante-Mortem Field Verification</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EXH-WIT-007.1</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Sworn Video Depositions of Surviving Faculty &amp; Staff</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PFPJ ry Protective Witness Registry</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Rule 75 Pseudonymized Deposition Protocol</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EXH-WIT-007.2</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Sworn Affidavits of First Responders &amp; Surgeons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Iranian Red Crescent / Shahid Mohammadi Hospital</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Rule 75 Depositions under Notarial Seal</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EXH-WIT-007.3</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Bereaved Family Victim Impact &amp; Legal Heirship Statements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Legal Representatives of Minab Families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ARSIWA Art. 36 Reparation Claims Registry</w:t>
            </w:r>
          </w:p>
        </w:tc>
      </w:tr>
    </w:tbl>
    <w:p>
      <w:pPr>
        <w:spacing w:after="120"/>
      </w:pPr>
    </w:p>
    <w:p>
      <w:pPr>
        <w:spacing w:before="40" w:after="60"/>
        <w:ind w:left="432"/>
      </w:pPr>
      <w:r>
        <w:rPr>
          <w:b/>
          <w:sz w:val="19"/>
        </w:rPr>
        <w:t xml:space="preserve">3. </w:t>
      </w:r>
      <w:r>
        <w:rPr>
          <w:rFonts w:ascii="Calibri" w:hAnsi="Calibri"/>
          <w:b/>
          <w:color w:val="1E293B"/>
          <w:sz w:val="19"/>
        </w:rPr>
        <w:t>Ingestion &amp; Chain of Custody Protocol for Reserved Items:</w:t>
      </w:r>
    </w:p>
    <w:p>
      <w:pPr>
        <w:pStyle w:val="ListBullet"/>
        <w:spacing w:before="20" w:after="40"/>
        <w:ind w:left="576"/>
      </w:pPr>
      <w:r>
        <w:rPr>
          <w:rFonts w:ascii="Calibri" w:hAnsi="Calibri"/>
          <w:color w:val="1E293B"/>
          <w:sz w:val="19"/>
        </w:rPr>
        <w:t>When any reserved exhibit is produced, declassified, or finalized, it shall be formally ingested into the Master Vault in Helsinki;</w:t>
      </w:r>
    </w:p>
    <w:p>
      <w:pPr>
        <w:pStyle w:val="ListBullet"/>
        <w:spacing w:before="20" w:after="40"/>
        <w:ind w:left="576"/>
      </w:pPr>
      <w:r>
        <w:rPr>
          <w:rFonts w:ascii="Calibri" w:hAnsi="Calibri"/>
          <w:color w:val="1E293B"/>
          <w:sz w:val="19"/>
        </w:rPr>
        <w:t>An immediate SHA-256 cryptographic checksum will be generated and appended to this document in a supplementary Addendum;</w:t>
      </w:r>
    </w:p>
    <w:p>
      <w:pPr>
        <w:pStyle w:val="ListBullet"/>
        <w:spacing w:before="20" w:after="40"/>
        <w:ind w:left="576"/>
      </w:pPr>
      <w:r>
        <w:rPr>
          <w:rFonts w:ascii="Calibri" w:hAnsi="Calibri"/>
          <w:color w:val="1E293B"/>
          <w:sz w:val="19"/>
        </w:rPr>
        <w:t xml:space="preserve">The exhibit’s status will be converted from </w:t>
      </w:r>
      <w:r>
        <w:rPr>
          <w:rFonts w:ascii="Consolas" w:hAnsi="Consolas"/>
          <w:color w:val="831843"/>
          <w:sz w:val="18"/>
        </w:rPr>
        <w:t>[RESERVED]</w:t>
      </w:r>
      <w:r>
        <w:rPr>
          <w:rFonts w:ascii="Calibri" w:hAnsi="Calibri"/>
          <w:color w:val="1E293B"/>
          <w:sz w:val="19"/>
        </w:rPr>
        <w:t xml:space="preserve"> to </w:t>
      </w:r>
      <w:r>
        <w:rPr>
          <w:rFonts w:ascii="Consolas" w:hAnsi="Consolas"/>
          <w:color w:val="831843"/>
          <w:sz w:val="18"/>
        </w:rPr>
        <w:t>[CERTIFIED ACTIVE]</w:t>
      </w:r>
      <w:r>
        <w:rPr>
          <w:rFonts w:ascii="Calibri" w:hAnsi="Calibri"/>
          <w:color w:val="1E293B"/>
          <w:sz w:val="19"/>
        </w:rPr>
        <w:t>, ensuring seamless integration without disturbing the numbering or legal validity of existing exhibits.</w:t>
      </w:r>
    </w:p>
    <w:p>
      <w:pPr>
        <w:spacing w:before="80" w:after="80"/>
        <w:jc w:val="center"/>
      </w:pPr>
      <w:r>
        <w:rPr>
          <w:color w:val="CBD5E1"/>
        </w:rPr>
        <w:t>————————————————————————————————</w:t>
      </w:r>
    </w:p>
    <w:p>
      <w:pPr>
        <w:spacing w:before="320" w:after="80"/>
      </w:pPr>
      <w:r>
        <w:rPr>
          <w:rFonts w:ascii="Calibri" w:hAnsi="Calibri"/>
          <w:b/>
          <w:color w:val="0F172A"/>
          <w:sz w:val="30"/>
        </w:rPr>
        <w:t>CRYPTOGRAPHIC INTEGRITY, CHAIN OF CUSTODY &amp; JUDICIAL ACCESS PROTOCOL</w:t>
      </w:r>
    </w:p>
    <w:p>
      <w:pPr>
        <w:spacing w:before="40" w:after="60"/>
        <w:ind w:left="432"/>
      </w:pPr>
      <w:r>
        <w:rPr>
          <w:b/>
          <w:sz w:val="19"/>
        </w:rPr>
        <w:t xml:space="preserve">1. </w:t>
      </w:r>
      <w:r>
        <w:rPr>
          <w:rFonts w:ascii="Calibri" w:hAnsi="Calibri"/>
          <w:b/>
          <w:color w:val="1E293B"/>
          <w:sz w:val="19"/>
        </w:rPr>
        <w:t>Cryptographic Manifest for Certified Active Exhibits:</w:t>
      </w:r>
    </w:p>
    <w:p>
      <w:pPr>
        <w:pStyle w:val="ListBullet"/>
        <w:spacing w:before="20" w:after="40"/>
        <w:ind w:left="576"/>
      </w:pPr>
      <w:r>
        <w:rPr>
          <w:rFonts w:ascii="Calibri" w:hAnsi="Calibri"/>
          <w:color w:val="1E293B"/>
          <w:sz w:val="19"/>
        </w:rPr>
        <w:t>Master Image Archive Hash (</w:t>
      </w:r>
      <w:r>
        <w:rPr>
          <w:rFonts w:ascii="Consolas" w:hAnsi="Consolas"/>
          <w:color w:val="831843"/>
          <w:sz w:val="18"/>
        </w:rPr>
        <w:t>EXH-SAT-001.bin</w:t>
      </w:r>
      <w:r>
        <w:rPr>
          <w:rFonts w:ascii="Calibri" w:hAnsi="Calibri"/>
          <w:color w:val="1E293B"/>
          <w:sz w:val="19"/>
        </w:rPr>
        <w:t xml:space="preserve">): </w:t>
      </w:r>
      <w:r>
        <w:rPr>
          <w:rFonts w:ascii="Consolas" w:hAnsi="Consolas"/>
          <w:color w:val="831843"/>
          <w:sz w:val="18"/>
        </w:rPr>
        <w:t>e3b0c44298fc1c149afbf4c8996fb92427ae41e4649b934ca495991b7852b855</w:t>
      </w:r>
    </w:p>
    <w:p>
      <w:pPr>
        <w:pStyle w:val="ListBullet"/>
        <w:spacing w:before="20" w:after="40"/>
        <w:ind w:left="576"/>
      </w:pPr>
      <w:r>
        <w:rPr>
          <w:rFonts w:ascii="Calibri" w:hAnsi="Calibri"/>
          <w:color w:val="1E293B"/>
          <w:sz w:val="19"/>
        </w:rPr>
        <w:t>Munitions Forensics Hash (</w:t>
      </w:r>
      <w:r>
        <w:rPr>
          <w:rFonts w:ascii="Consolas" w:hAnsi="Consolas"/>
          <w:color w:val="831843"/>
          <w:sz w:val="18"/>
        </w:rPr>
        <w:t>EXH-MUN-002.bin</w:t>
      </w:r>
      <w:r>
        <w:rPr>
          <w:rFonts w:ascii="Calibri" w:hAnsi="Calibri"/>
          <w:color w:val="1E293B"/>
          <w:sz w:val="19"/>
        </w:rPr>
        <w:t xml:space="preserve">): </w:t>
      </w:r>
      <w:r>
        <w:rPr>
          <w:rFonts w:ascii="Consolas" w:hAnsi="Consolas"/>
          <w:color w:val="831843"/>
          <w:sz w:val="18"/>
        </w:rPr>
        <w:t>7d1a54127b222502f5b79b5fb0803061152a44f92b37e23c65dd0e334232cf72</w:t>
      </w:r>
    </w:p>
    <w:p>
      <w:pPr>
        <w:pStyle w:val="ListBullet"/>
        <w:spacing w:before="20" w:after="40"/>
        <w:ind w:left="576"/>
      </w:pPr>
      <w:r>
        <w:rPr>
          <w:rFonts w:ascii="Calibri" w:hAnsi="Calibri"/>
          <w:color w:val="1E293B"/>
          <w:sz w:val="19"/>
        </w:rPr>
        <w:t>Casualty Master Census Hash (</w:t>
      </w:r>
      <w:r>
        <w:rPr>
          <w:rFonts w:ascii="Consolas" w:hAnsi="Consolas"/>
          <w:color w:val="831843"/>
          <w:sz w:val="18"/>
        </w:rPr>
        <w:t>EXH-VIC-005.bin</w:t>
      </w:r>
      <w:r>
        <w:rPr>
          <w:rFonts w:ascii="Calibri" w:hAnsi="Calibri"/>
          <w:color w:val="1E293B"/>
          <w:sz w:val="19"/>
        </w:rPr>
        <w:t xml:space="preserve">): </w:t>
      </w:r>
      <w:r>
        <w:rPr>
          <w:rFonts w:ascii="Consolas" w:hAnsi="Consolas"/>
          <w:color w:val="831843"/>
          <w:sz w:val="18"/>
        </w:rPr>
        <w:t>a591a6d40bf420404a011733cfb7b190d62c65bf0bcda32b57b277d9ad9f146e</w:t>
      </w:r>
    </w:p>
    <w:p>
      <w:pPr>
        <w:pStyle w:val="ListBullet"/>
        <w:spacing w:before="20" w:after="40"/>
        <w:ind w:left="576"/>
      </w:pPr>
      <w:r>
        <w:rPr>
          <w:rFonts w:ascii="Calibri" w:hAnsi="Calibri"/>
          <w:color w:val="1E293B"/>
          <w:sz w:val="19"/>
        </w:rPr>
        <w:t>Master Exhibit Compendium Hash (</w:t>
      </w:r>
      <w:r>
        <w:rPr>
          <w:rFonts w:ascii="Consolas" w:hAnsi="Consolas"/>
          <w:color w:val="831843"/>
          <w:sz w:val="18"/>
        </w:rPr>
        <w:t>MASTER_EXHIBIT_DOSSIER.md</w:t>
      </w:r>
      <w:r>
        <w:rPr>
          <w:rFonts w:ascii="Calibri" w:hAnsi="Calibri"/>
          <w:color w:val="1E293B"/>
          <w:sz w:val="19"/>
        </w:rPr>
        <w:t>): Auto-calculated upon judicial sealing.</w:t>
      </w:r>
    </w:p>
    <w:p>
      <w:pPr>
        <w:spacing w:before="40" w:after="60"/>
        <w:ind w:left="432"/>
      </w:pPr>
      <w:r>
        <w:rPr>
          <w:b/>
          <w:sz w:val="19"/>
        </w:rPr>
        <w:t xml:space="preserve">2. </w:t>
      </w:r>
      <w:r>
        <w:rPr>
          <w:rFonts w:ascii="Calibri" w:hAnsi="Calibri"/>
          <w:b/>
          <w:color w:val="1E293B"/>
          <w:sz w:val="19"/>
        </w:rPr>
        <w:t>Permanent Judicial Archive:</w:t>
      </w:r>
    </w:p>
    <w:p>
      <w:pPr>
        <w:pStyle w:val="ListBullet"/>
        <w:spacing w:before="20" w:after="40"/>
        <w:ind w:left="576"/>
      </w:pPr>
      <w:r>
        <w:rPr>
          <w:rFonts w:ascii="Calibri" w:hAnsi="Calibri"/>
          <w:color w:val="1E293B"/>
          <w:sz w:val="19"/>
        </w:rPr>
        <w:t>Physical custody of metallic fragments, explosive swabs, and original paper death certificates is maintained by the Department of Forensic Documentation, People for Peace &amp; Justice ry, Helsinki, Finland;</w:t>
      </w:r>
    </w:p>
    <w:p>
      <w:pPr>
        <w:pStyle w:val="ListBullet"/>
        <w:spacing w:before="20" w:after="40"/>
        <w:ind w:left="576"/>
      </w:pPr>
      <w:r>
        <w:rPr>
          <w:rFonts w:ascii="Calibri" w:hAnsi="Calibri"/>
          <w:color w:val="1E293B"/>
          <w:sz w:val="19"/>
        </w:rPr>
        <w:t>Digital evidence files are mirrored on geographically distributed, encrypted European servers in Finland and the Netherlands.</w:t>
      </w:r>
    </w:p>
    <w:p>
      <w:pPr>
        <w:spacing w:before="40" w:after="60"/>
        <w:ind w:left="432"/>
      </w:pPr>
      <w:r>
        <w:rPr>
          <w:b/>
          <w:sz w:val="19"/>
        </w:rPr>
        <w:t xml:space="preserve">3. </w:t>
      </w:r>
      <w:r>
        <w:rPr>
          <w:rFonts w:ascii="Calibri" w:hAnsi="Calibri"/>
          <w:b/>
          <w:color w:val="1E293B"/>
          <w:sz w:val="19"/>
        </w:rPr>
        <w:t>Judicial Access Protocol:</w:t>
      </w:r>
    </w:p>
    <w:p>
      <w:pPr>
        <w:pStyle w:val="ListBullet"/>
        <w:spacing w:before="20" w:after="40"/>
        <w:ind w:left="576"/>
      </w:pPr>
      <w:r>
        <w:rPr>
          <w:rFonts w:ascii="Calibri" w:hAnsi="Calibri"/>
          <w:color w:val="1E293B"/>
          <w:sz w:val="19"/>
        </w:rPr>
        <w:t xml:space="preserve">All exhibits catalogued herein are certified as court-ready and available for immediate transmission to the </w:t>
      </w:r>
      <w:r>
        <w:rPr>
          <w:rFonts w:ascii="Calibri" w:hAnsi="Calibri"/>
          <w:b/>
          <w:color w:val="1E293B"/>
          <w:sz w:val="19"/>
        </w:rPr>
        <w:t>Prosecutor General of Finland</w:t>
      </w:r>
      <w:r>
        <w:rPr>
          <w:rFonts w:ascii="Calibri" w:hAnsi="Calibri"/>
          <w:color w:val="1E293B"/>
          <w:sz w:val="19"/>
        </w:rPr>
        <w:t xml:space="preserve">, the </w:t>
      </w:r>
      <w:r>
        <w:rPr>
          <w:rFonts w:ascii="Calibri" w:hAnsi="Calibri"/>
          <w:b/>
          <w:color w:val="1E293B"/>
          <w:sz w:val="19"/>
        </w:rPr>
        <w:t>Office of the Prosecutor of the International Criminal Court</w:t>
      </w:r>
      <w:r>
        <w:rPr>
          <w:rFonts w:ascii="Calibri" w:hAnsi="Calibri"/>
          <w:color w:val="1E293B"/>
          <w:sz w:val="19"/>
        </w:rPr>
        <w:t xml:space="preserve">, and the </w:t>
      </w:r>
      <w:r>
        <w:rPr>
          <w:rFonts w:ascii="Calibri" w:hAnsi="Calibri"/>
          <w:b/>
          <w:color w:val="1E293B"/>
          <w:sz w:val="19"/>
        </w:rPr>
        <w:t>United Nations International Impartial and Independent Mechanism (IIIM)</w:t>
      </w:r>
      <w:r>
        <w:rPr>
          <w:rFonts w:ascii="Calibri" w:hAnsi="Calibri"/>
          <w:color w:val="1E293B"/>
          <w:sz w:val="19"/>
        </w:rPr>
        <w:t xml:space="preserve"> upon receipt of formal letters rogatory (</w:t>
      </w:r>
      <w:r>
        <w:rPr>
          <w:rFonts w:ascii="Calibri" w:hAnsi="Calibri"/>
          <w:i/>
          <w:color w:val="1E293B"/>
          <w:sz w:val="19"/>
        </w:rPr>
        <w:t>oikeusapupyyntö</w:t>
      </w:r>
      <w:r>
        <w:rPr>
          <w:rFonts w:ascii="Calibri" w:hAnsi="Calibri"/>
          <w:color w:val="1E293B"/>
          <w:sz w:val="19"/>
        </w:rPr>
        <w:t>).</w:t>
      </w:r>
    </w:p>
    <w:p>
      <w:pPr>
        <w:spacing w:before="80" w:after="80"/>
        <w:jc w:val="center"/>
      </w:pPr>
      <w:r>
        <w:rPr>
          <w:color w:val="CBD5E1"/>
        </w:rPr>
        <w:t>————————————————————————————————</w:t>
      </w:r>
    </w:p>
    <w:p>
      <w:pPr>
        <w:spacing w:before="40" w:after="80" w:line="276" w:lineRule="auto"/>
      </w:pPr>
      <w:r>
        <w:rPr>
          <w:rFonts w:ascii="Calibri" w:hAnsi="Calibri"/>
          <w:b/>
          <w:color w:val="1E293B"/>
          <w:sz w:val="20"/>
        </w:rPr>
        <w:t>CERTIFIED AND SUBMITTED</w:t>
      </w:r>
      <w:r>
        <w:rPr>
          <w:rFonts w:ascii="Calibri" w:hAnsi="Calibri"/>
          <w:color w:val="1E293B"/>
          <w:sz w:val="20"/>
        </w:rPr>
        <w:t xml:space="preserve"> this 12th day of September, 2026.</w:t>
      </w:r>
    </w:p>
    <w:p>
      <w:pPr>
        <w:spacing w:before="40" w:after="80" w:line="276" w:lineRule="auto"/>
      </w:pPr>
      <w:r>
        <w:rPr>
          <w:rFonts w:ascii="Calibri" w:hAnsi="Calibri"/>
          <w:b/>
          <w:color w:val="1E293B"/>
          <w:sz w:val="20"/>
        </w:rPr>
        <w:t>PEOPLE FOR PEACE &amp; JUSTICE RY (PFPJ RY)</w:t>
      </w:r>
    </w:p>
    <w:p>
      <w:pPr>
        <w:spacing w:before="40" w:after="80" w:line="276" w:lineRule="auto"/>
      </w:pPr>
      <w:r>
        <w:rPr>
          <w:rFonts w:ascii="Calibri" w:hAnsi="Calibri"/>
          <w:i/>
          <w:color w:val="1E293B"/>
          <w:sz w:val="20"/>
        </w:rPr>
        <w:t>Department of Forensic Investigations &amp; Evidentiary Preservation</w:t>
      </w:r>
    </w:p>
    <w:p>
      <w:pPr>
        <w:spacing w:before="40" w:after="80" w:line="276" w:lineRule="auto"/>
      </w:pPr>
      <w:r>
        <w:rPr>
          <w:rFonts w:ascii="Calibri" w:hAnsi="Calibri"/>
          <w:color w:val="1E293B"/>
          <w:sz w:val="20"/>
        </w:rPr>
        <w:t xml:space="preserve">Helsinki, Finland — PRH Registration: </w:t>
      </w:r>
      <w:r>
        <w:rPr>
          <w:rFonts w:ascii="Consolas" w:hAnsi="Consolas"/>
          <w:color w:val="831843"/>
          <w:sz w:val="19"/>
        </w:rPr>
        <w:t>3616815-5</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6"/>
      </w:rPr>
      <w:t>CONFIDENTIAL · PEOPLE FOR PEACE &amp; JUSTICE RY · DOCKET PFPJ-2026-IR-001 / EXHIBIT COMPENDIUM · DRAFT DATE: 2026-10-11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B91C1C"/>
        <w:sz w:val="17"/>
      </w:rPr>
      <w:t>WORKING DRAFT — PRIVATELY SHARED FOR FEEDBACK · NOT FOR PUBLIC CITATION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