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CASE BENCHMARK CHARTS.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2026-10-24 · Status: Working Draft (Pre-Filing Review Edition) · Helsinki, Finland</w:t>
            </w:r>
          </w:p>
        </w:tc>
      </w:tr>
    </w:tbl>
    <w:p>
      <w:pPr>
        <w:spacing w:after="240"/>
      </w:pPr>
    </w:p>
    <w:p>
      <w:pPr>
        <w:spacing w:before="320" w:after="80"/>
      </w:pPr>
      <w:r>
        <w:rPr>
          <w:rFonts w:ascii="Calibri" w:hAnsi="Calibri"/>
          <w:b/>
          <w:color w:val="0F172A"/>
          <w:sz w:val="30"/>
        </w:rPr>
        <w:t>COMPREHENSIVE JURIDICAL BENCHMARK COMPENDIUM: BRINGING CASES 01–03, 06–07, 09–14 &amp; 16–19 INTO FOCUS</w:t>
      </w:r>
    </w:p>
    <w:p>
      <w:pPr>
        <w:spacing w:before="200" w:after="60"/>
      </w:pPr>
      <w:r>
        <w:rPr>
          <w:rFonts w:ascii="Calibri" w:hAnsi="Calibri"/>
          <w:b/>
          <w:color w:val="334155"/>
          <w:sz w:val="22"/>
        </w:rPr>
        <w:t>PREPARED FOR THE INDEPENDENT EXPERT INQUIRY PANEL &amp; THE BOARD OF TRUSTEES</w:t>
      </w:r>
    </w:p>
    <w:p>
      <w:pPr>
        <w:spacing w:before="40" w:after="80" w:line="276" w:lineRule="auto"/>
      </w:pPr>
      <w:r>
        <w:rPr>
          <w:rFonts w:ascii="Calibri" w:hAnsi="Calibri"/>
          <w:b/>
          <w:color w:val="1E293B"/>
          <w:sz w:val="20"/>
        </w:rPr>
        <w:t>Docket No.:</w:t>
      </w:r>
      <w:r>
        <w:rPr>
          <w:rFonts w:ascii="Calibri" w:hAnsi="Calibri"/>
          <w:color w:val="1E293B"/>
          <w:sz w:val="20"/>
        </w:rPr>
        <w:t xml:space="preserve"> PFPJ-2026-IR-001</w:t>
      </w:r>
    </w:p>
    <w:p>
      <w:pPr>
        <w:spacing w:before="40" w:after="80" w:line="276" w:lineRule="auto"/>
      </w:pPr>
      <w:r>
        <w:rPr>
          <w:rFonts w:ascii="Calibri" w:hAnsi="Calibri"/>
          <w:b/>
          <w:color w:val="1E293B"/>
          <w:sz w:val="20"/>
        </w:rPr>
        <w:t>Convening Entity:</w:t>
      </w:r>
      <w:r>
        <w:rPr>
          <w:rFonts w:ascii="Calibri" w:hAnsi="Calibri"/>
          <w:color w:val="1E293B"/>
          <w:sz w:val="20"/>
        </w:rPr>
        <w:t xml:space="preserve"> People for Peace &amp; Justice ry (PFPJ ry) — Helsinki, Finland (Business ID: </w:t>
      </w:r>
      <w:r>
        <w:rPr>
          <w:rFonts w:ascii="Consolas" w:hAnsi="Consolas"/>
          <w:color w:val="831843"/>
          <w:sz w:val="19"/>
        </w:rPr>
        <w:t>3616815-5</w:t>
      </w:r>
      <w:r>
        <w:rPr>
          <w:rFonts w:ascii="Calibri" w:hAnsi="Calibri"/>
          <w:color w:val="1E293B"/>
          <w:sz w:val="20"/>
        </w:rPr>
        <w:t>)</w:t>
      </w:r>
    </w:p>
    <w:p>
      <w:pPr>
        <w:spacing w:before="40" w:after="80" w:line="276" w:lineRule="auto"/>
      </w:pPr>
      <w:r>
        <w:rPr>
          <w:rFonts w:ascii="Calibri" w:hAnsi="Calibri"/>
          <w:b/>
          <w:color w:val="1E293B"/>
          <w:sz w:val="20"/>
        </w:rPr>
        <w:t>Application Target:</w:t>
      </w:r>
      <w:r>
        <w:rPr>
          <w:rFonts w:ascii="Calibri" w:hAnsi="Calibri"/>
          <w:color w:val="1E293B"/>
          <w:sz w:val="20"/>
        </w:rPr>
        <w:t xml:space="preserve"> Integration into </w:t>
      </w:r>
      <w:r>
        <w:rPr>
          <w:rFonts w:ascii="Consolas" w:hAnsi="Consolas"/>
          <w:color w:val="831843"/>
          <w:sz w:val="19"/>
        </w:rPr>
        <w:t>FACTUAL_DETERMINATION_AND_COMPLAINT_MASTER.md</w:t>
      </w:r>
      <w:r>
        <w:rPr>
          <w:rFonts w:ascii="Calibri" w:hAnsi="Calibri"/>
          <w:color w:val="1E293B"/>
          <w:sz w:val="20"/>
        </w:rPr>
        <w:t xml:space="preserve"> (</w:t>
      </w:r>
      <w:r>
        <w:rPr>
          <w:rFonts w:ascii="Calibri" w:hAnsi="Calibri"/>
          <w:i/>
          <w:color w:val="1E293B"/>
          <w:sz w:val="20"/>
        </w:rPr>
        <w:t>Shajareh Tayyebeh School Missile Strike Dossier</w:t>
      </w:r>
      <w:r>
        <w:rPr>
          <w:rFonts w:ascii="Calibri" w:hAnsi="Calibri"/>
          <w:color w:val="1E293B"/>
          <w:sz w:val="20"/>
        </w:rPr>
        <w:t>)</w:t>
      </w:r>
    </w:p>
    <w:p>
      <w:pPr>
        <w:spacing w:before="40" w:after="80" w:line="276" w:lineRule="auto"/>
      </w:pPr>
      <w:r>
        <w:rPr>
          <w:rFonts w:ascii="Calibri" w:hAnsi="Calibri"/>
          <w:b/>
          <w:color w:val="1E293B"/>
          <w:sz w:val="20"/>
        </w:rPr>
        <w:t>Judicial Benchmark Standard:</w:t>
      </w:r>
      <w:r>
        <w:rPr>
          <w:rFonts w:ascii="Calibri" w:hAnsi="Calibri"/>
          <w:color w:val="1E293B"/>
          <w:sz w:val="20"/>
        </w:rPr>
        <w:t xml:space="preserve"> Jurisprudence and Evidentiary Practice of the International Court of Justice (ICJ), the International Criminal Court (ICC), the International Criminal Tribunal for the former Yugoslavia (ICTY), and the Grand Chamber of the European Court of Human Rights (ECtHR).</w:t>
      </w:r>
    </w:p>
    <w:p>
      <w:pPr>
        <w:spacing w:before="80" w:after="80"/>
        <w:jc w:val="center"/>
      </w:pPr>
      <w:r>
        <w:rPr>
          <w:color w:val="CBD5E1"/>
        </w:rPr>
        <w:t>————————————————————————————————</w:t>
      </w:r>
    </w:p>
    <w:p>
      <w:pPr>
        <w:spacing w:before="280" w:after="80"/>
      </w:pPr>
      <w:r>
        <w:rPr>
          <w:rFonts w:ascii="Calibri" w:hAnsi="Calibri"/>
          <w:b/>
          <w:color w:val="1E293B"/>
          <w:sz w:val="26"/>
        </w:rPr>
        <w:t>EXECUTIVE METHODOLOGICAL ORIENTATION</w:t>
      </w:r>
    </w:p>
    <w:p>
      <w:pPr>
        <w:spacing w:before="40" w:after="80" w:line="276" w:lineRule="auto"/>
      </w:pPr>
      <w:r>
        <w:rPr>
          <w:rFonts w:ascii="Calibri" w:hAnsi="Calibri"/>
          <w:color w:val="1E293B"/>
          <w:sz w:val="20"/>
        </w:rPr>
        <w:t xml:space="preserve">Having completed the exhaustive forensic and juridical analysis of </w:t>
      </w:r>
      <w:r>
        <w:rPr>
          <w:rFonts w:ascii="Calibri" w:hAnsi="Calibri"/>
          <w:b/>
          <w:color w:val="1E293B"/>
          <w:sz w:val="20"/>
        </w:rPr>
        <w:t>Cases 04</w:t>
      </w:r>
      <w:r>
        <w:rPr>
          <w:rFonts w:ascii="Calibri" w:hAnsi="Calibri"/>
          <w:color w:val="1E293B"/>
          <w:sz w:val="20"/>
        </w:rPr>
        <w:t xml:space="preserve"> (</w:t>
      </w:r>
      <w:r>
        <w:rPr>
          <w:rFonts w:ascii="Calibri" w:hAnsi="Calibri"/>
          <w:i/>
          <w:color w:val="1E293B"/>
          <w:sz w:val="20"/>
        </w:rPr>
        <w:t>Al-Jina Mosque Complex</w:t>
      </w:r>
      <w:r>
        <w:rPr>
          <w:rFonts w:ascii="Calibri" w:hAnsi="Calibri"/>
          <w:color w:val="1E293B"/>
          <w:sz w:val="20"/>
        </w:rPr>
        <w:t xml:space="preserve">), </w:t>
      </w:r>
      <w:r>
        <w:rPr>
          <w:rFonts w:ascii="Calibri" w:hAnsi="Calibri"/>
          <w:b/>
          <w:color w:val="1E293B"/>
          <w:sz w:val="20"/>
        </w:rPr>
        <w:t>05</w:t>
      </w:r>
      <w:r>
        <w:rPr>
          <w:rFonts w:ascii="Calibri" w:hAnsi="Calibri"/>
          <w:color w:val="1E293B"/>
          <w:sz w:val="20"/>
        </w:rPr>
        <w:t xml:space="preserve"> (</w:t>
      </w:r>
      <w:r>
        <w:rPr>
          <w:rFonts w:ascii="Calibri" w:hAnsi="Calibri"/>
          <w:i/>
          <w:color w:val="1E293B"/>
          <w:sz w:val="20"/>
        </w:rPr>
        <w:t>Kabul Drone Strike on the Ahmadi Family</w:t>
      </w:r>
      <w:r>
        <w:rPr>
          <w:rFonts w:ascii="Calibri" w:hAnsi="Calibri"/>
          <w:color w:val="1E293B"/>
          <w:sz w:val="20"/>
        </w:rPr>
        <w:t xml:space="preserve">), </w:t>
      </w:r>
      <w:r>
        <w:rPr>
          <w:rFonts w:ascii="Calibri" w:hAnsi="Calibri"/>
          <w:b/>
          <w:color w:val="1E293B"/>
          <w:sz w:val="20"/>
        </w:rPr>
        <w:t>08</w:t>
      </w:r>
      <w:r>
        <w:rPr>
          <w:rFonts w:ascii="Calibri" w:hAnsi="Calibri"/>
          <w:color w:val="1E293B"/>
          <w:sz w:val="20"/>
        </w:rPr>
        <w:t xml:space="preserve"> (</w:t>
      </w:r>
      <w:r>
        <w:rPr>
          <w:rFonts w:ascii="Calibri" w:hAnsi="Calibri"/>
          <w:i/>
          <w:color w:val="1E293B"/>
          <w:sz w:val="20"/>
        </w:rPr>
        <w:t>Al-Amiriyah Public Shelter Massacre</w:t>
      </w:r>
      <w:r>
        <w:rPr>
          <w:rFonts w:ascii="Calibri" w:hAnsi="Calibri"/>
          <w:color w:val="1E293B"/>
          <w:sz w:val="20"/>
        </w:rPr>
        <w:t xml:space="preserve">), and </w:t>
      </w:r>
      <w:r>
        <w:rPr>
          <w:rFonts w:ascii="Calibri" w:hAnsi="Calibri"/>
          <w:b/>
          <w:color w:val="1E293B"/>
          <w:sz w:val="20"/>
        </w:rPr>
        <w:t>15</w:t>
      </w:r>
      <w:r>
        <w:rPr>
          <w:rFonts w:ascii="Calibri" w:hAnsi="Calibri"/>
          <w:color w:val="1E293B"/>
          <w:sz w:val="20"/>
        </w:rPr>
        <w:t xml:space="preserve"> (</w:t>
      </w:r>
      <w:r>
        <w:rPr>
          <w:rFonts w:ascii="Calibri" w:hAnsi="Calibri"/>
          <w:i/>
          <w:color w:val="1E293B"/>
          <w:sz w:val="20"/>
        </w:rPr>
        <w:t>Dahyan School Bus Airstrike</w:t>
      </w:r>
      <w:r>
        <w:rPr>
          <w:rFonts w:ascii="Calibri" w:hAnsi="Calibri"/>
          <w:color w:val="1E293B"/>
          <w:sz w:val="20"/>
        </w:rPr>
        <w:t xml:space="preserve">), this compendium systematically brings the remaining </w:t>
      </w:r>
      <w:r>
        <w:rPr>
          <w:rFonts w:ascii="Calibri" w:hAnsi="Calibri"/>
          <w:b/>
          <w:color w:val="1E293B"/>
          <w:sz w:val="20"/>
        </w:rPr>
        <w:t>fifteen (15) international precedent cases</w:t>
      </w:r>
      <w:r>
        <w:rPr>
          <w:rFonts w:ascii="Calibri" w:hAnsi="Calibri"/>
          <w:color w:val="1E293B"/>
          <w:sz w:val="20"/>
        </w:rPr>
        <w:t xml:space="preserve"> into sharp analytical focus:</w:t>
      </w:r>
    </w:p>
    <w:p>
      <w:pPr>
        <w:pStyle w:val="ListBullet"/>
        <w:spacing w:before="20" w:after="40"/>
      </w:pPr>
      <w:r>
        <w:rPr>
          <w:rFonts w:ascii="Calibri" w:hAnsi="Calibri"/>
          <w:b/>
          <w:color w:val="1E293B"/>
          <w:sz w:val="19"/>
        </w:rPr>
        <w:t>Case 01:</w:t>
      </w:r>
      <w:r>
        <w:rPr>
          <w:rFonts w:ascii="Calibri" w:hAnsi="Calibri"/>
          <w:color w:val="1E293B"/>
          <w:sz w:val="19"/>
        </w:rPr>
        <w:t xml:space="preserve"> Bombing of the Chinese Embassy in Belgrade (FRY, 1999) — </w:t>
      </w:r>
      <w:r>
        <w:rPr>
          <w:rFonts w:ascii="Calibri" w:hAnsi="Calibri"/>
          <w:i/>
          <w:color w:val="1E293B"/>
          <w:sz w:val="19"/>
        </w:rPr>
        <w:t>Peacetime Target Nomination, Outdated Cartography &amp; Single Point of Database Failure</w:t>
      </w:r>
    </w:p>
    <w:p>
      <w:pPr>
        <w:pStyle w:val="ListBullet"/>
        <w:spacing w:before="20" w:after="40"/>
      </w:pPr>
      <w:r>
        <w:rPr>
          <w:rFonts w:ascii="Calibri" w:hAnsi="Calibri"/>
          <w:b/>
          <w:color w:val="1E293B"/>
          <w:sz w:val="19"/>
        </w:rPr>
        <w:t>Case 02:</w:t>
      </w:r>
      <w:r>
        <w:rPr>
          <w:rFonts w:ascii="Calibri" w:hAnsi="Calibri"/>
          <w:color w:val="1E293B"/>
          <w:sz w:val="19"/>
        </w:rPr>
        <w:t xml:space="preserve"> Kunduz River Sandbank Fuel Tankers Airstrike (Afghanistan, 2009) — </w:t>
      </w:r>
      <w:r>
        <w:rPr>
          <w:rFonts w:ascii="Calibri" w:hAnsi="Calibri"/>
          <w:i/>
          <w:color w:val="1E293B"/>
          <w:sz w:val="19"/>
        </w:rPr>
        <w:t>Thermal FLIR Sensor Ambiguity, Manufactured "TIC" Urgency &amp; Rejection of Warning Passes</w:t>
      </w:r>
    </w:p>
    <w:p>
      <w:pPr>
        <w:pStyle w:val="ListBullet"/>
        <w:spacing w:before="20" w:after="40"/>
      </w:pPr>
      <w:r>
        <w:rPr>
          <w:rFonts w:ascii="Calibri" w:hAnsi="Calibri"/>
          <w:b/>
          <w:color w:val="1E293B"/>
          <w:sz w:val="19"/>
        </w:rPr>
        <w:t>Case 03:</w:t>
      </w:r>
      <w:r>
        <w:rPr>
          <w:rFonts w:ascii="Calibri" w:hAnsi="Calibri"/>
          <w:color w:val="1E293B"/>
          <w:sz w:val="19"/>
        </w:rPr>
        <w:t xml:space="preserve"> Katyr-Yurt Convoy and Village Bombardment (Chechnya, 2000) — </w:t>
      </w:r>
      <w:r>
        <w:rPr>
          <w:rFonts w:ascii="Calibri" w:hAnsi="Calibri"/>
          <w:i/>
          <w:color w:val="1E293B"/>
          <w:sz w:val="19"/>
        </w:rPr>
        <w:t>Heavy Parachute-Retarded Aviation Bombs in Civilian Settlements &amp; Operation Planning Standard</w:t>
      </w:r>
    </w:p>
    <w:p>
      <w:pPr>
        <w:pStyle w:val="ListBullet"/>
        <w:spacing w:before="20" w:after="40"/>
      </w:pPr>
      <w:r>
        <w:rPr>
          <w:rFonts w:ascii="Calibri" w:hAnsi="Calibri"/>
          <w:b/>
          <w:color w:val="1E293B"/>
          <w:sz w:val="19"/>
        </w:rPr>
        <w:t>Case 06:</w:t>
      </w:r>
      <w:r>
        <w:rPr>
          <w:rFonts w:ascii="Calibri" w:hAnsi="Calibri"/>
          <w:color w:val="1E293B"/>
          <w:sz w:val="19"/>
        </w:rPr>
        <w:t xml:space="preserve"> Dora Farms Day 1 Decapitation Strike (Iraq, 2003) — </w:t>
      </w:r>
      <w:r>
        <w:rPr>
          <w:rFonts w:ascii="Calibri" w:hAnsi="Calibri"/>
          <w:i/>
          <w:color w:val="1E293B"/>
          <w:sz w:val="19"/>
        </w:rPr>
        <w:t>Peacetime Intelligence Siloing, Single-Source HUMINT &amp; Pre-Planned Cruise Missile Salvoes</w:t>
      </w:r>
    </w:p>
    <w:p>
      <w:pPr>
        <w:pStyle w:val="ListBullet"/>
        <w:spacing w:before="20" w:after="40"/>
      </w:pPr>
      <w:r>
        <w:rPr>
          <w:rFonts w:ascii="Calibri" w:hAnsi="Calibri"/>
          <w:b/>
          <w:color w:val="1E293B"/>
          <w:sz w:val="19"/>
        </w:rPr>
        <w:t>Case 07:</w:t>
      </w:r>
      <w:r>
        <w:rPr>
          <w:rFonts w:ascii="Calibri" w:hAnsi="Calibri"/>
          <w:color w:val="1E293B"/>
          <w:sz w:val="19"/>
        </w:rPr>
        <w:t xml:space="preserve"> Dasht-e Archi Madrassa Graduation Ceremony Airstrike (Kunduz, Afghanistan, 2018) — </w:t>
      </w:r>
      <w:r>
        <w:rPr>
          <w:rFonts w:ascii="Calibri" w:hAnsi="Calibri"/>
          <w:i/>
          <w:color w:val="1E293B"/>
          <w:sz w:val="19"/>
        </w:rPr>
        <w:t>Rocket Salvoes into Dense Religious Gatherings &amp; Mass Child Casualties</w:t>
      </w:r>
    </w:p>
    <w:p>
      <w:pPr>
        <w:pStyle w:val="ListBullet"/>
        <w:spacing w:before="20" w:after="40"/>
      </w:pPr>
      <w:r>
        <w:rPr>
          <w:rFonts w:ascii="Calibri" w:hAnsi="Calibri"/>
          <w:b/>
          <w:color w:val="1E293B"/>
          <w:sz w:val="19"/>
        </w:rPr>
        <w:t>Case 09:</w:t>
      </w:r>
      <w:r>
        <w:rPr>
          <w:rFonts w:ascii="Calibri" w:hAnsi="Calibri"/>
          <w:color w:val="1E293B"/>
          <w:sz w:val="19"/>
        </w:rPr>
        <w:t xml:space="preserve"> Shelling of the UNIFIL Headquarters Compound at Qana (Lebanon, 1996) — </w:t>
      </w:r>
      <w:r>
        <w:rPr>
          <w:rFonts w:ascii="Calibri" w:hAnsi="Calibri"/>
          <w:i/>
          <w:color w:val="1E293B"/>
          <w:sz w:val="19"/>
        </w:rPr>
        <w:t>Proximity-Fused Anti-Personnel Airburst Shells, Convergence Ballistics &amp; Overhead Drone Surveillance</w:t>
      </w:r>
    </w:p>
    <w:p>
      <w:pPr>
        <w:pStyle w:val="ListBullet"/>
        <w:spacing w:before="20" w:after="40"/>
      </w:pPr>
      <w:r>
        <w:rPr>
          <w:rFonts w:ascii="Calibri" w:hAnsi="Calibri"/>
          <w:b/>
          <w:color w:val="1E293B"/>
          <w:sz w:val="19"/>
        </w:rPr>
        <w:t>Case 10:</w:t>
      </w:r>
      <w:r>
        <w:rPr>
          <w:rFonts w:ascii="Calibri" w:hAnsi="Calibri"/>
          <w:color w:val="1E293B"/>
          <w:sz w:val="19"/>
        </w:rPr>
        <w:t xml:space="preserve"> Second Qana Residential Building Strike (Lebanon, 2006) — </w:t>
      </w:r>
      <w:r>
        <w:rPr>
          <w:rFonts w:ascii="Calibri" w:hAnsi="Calibri"/>
          <w:i/>
          <w:color w:val="1E293B"/>
          <w:sz w:val="19"/>
        </w:rPr>
        <w:t>Precision Bombing of Multi-Family Shelters, Structural Pancaking &amp; Ineffectiveness of Evacuation Leaflets</w:t>
      </w:r>
    </w:p>
    <w:p>
      <w:pPr>
        <w:pStyle w:val="ListBullet"/>
        <w:spacing w:before="20" w:after="40"/>
      </w:pPr>
      <w:r>
        <w:rPr>
          <w:rFonts w:ascii="Calibri" w:hAnsi="Calibri"/>
          <w:b/>
          <w:color w:val="1E293B"/>
          <w:sz w:val="19"/>
        </w:rPr>
        <w:t>Case 11:</w:t>
      </w:r>
      <w:r>
        <w:rPr>
          <w:rFonts w:ascii="Calibri" w:hAnsi="Calibri"/>
          <w:color w:val="1E293B"/>
          <w:sz w:val="19"/>
        </w:rPr>
        <w:t xml:space="preserve"> NATO Airstrike on Radio Televizije Srbije (RTS) Headquarters (Belgrade, 1999) — </w:t>
      </w:r>
      <w:r>
        <w:rPr>
          <w:rFonts w:ascii="Calibri" w:hAnsi="Calibri"/>
          <w:i/>
          <w:color w:val="1E293B"/>
          <w:sz w:val="19"/>
        </w:rPr>
        <w:t>Targeting Dual-Use Media Infrastructure, ICTY Proportionality &amp; Extraterritorial Jurisdiction (Banković)</w:t>
      </w:r>
    </w:p>
    <w:p>
      <w:pPr>
        <w:pStyle w:val="ListBullet"/>
        <w:spacing w:before="20" w:after="40"/>
      </w:pPr>
      <w:r>
        <w:rPr>
          <w:rFonts w:ascii="Calibri" w:hAnsi="Calibri"/>
          <w:b/>
          <w:color w:val="1E293B"/>
          <w:sz w:val="19"/>
        </w:rPr>
        <w:t>Case 12:</w:t>
      </w:r>
      <w:r>
        <w:rPr>
          <w:rFonts w:ascii="Calibri" w:hAnsi="Calibri"/>
          <w:color w:val="1E293B"/>
          <w:sz w:val="19"/>
        </w:rPr>
        <w:t xml:space="preserve"> NATO Bombing of Koriša Village Refugee Encampment (Kosovo, 1999) — </w:t>
      </w:r>
      <w:r>
        <w:rPr>
          <w:rFonts w:ascii="Calibri" w:hAnsi="Calibri"/>
          <w:i/>
          <w:color w:val="1E293B"/>
          <w:sz w:val="19"/>
        </w:rPr>
        <w:t>High-Altitude Sensor Misinterpretation, Mixed Precision/Unguided Bombing &amp; Human Shield Allegations</w:t>
      </w:r>
    </w:p>
    <w:p>
      <w:pPr>
        <w:pStyle w:val="ListBullet"/>
        <w:spacing w:before="20" w:after="40"/>
      </w:pPr>
      <w:r>
        <w:rPr>
          <w:rFonts w:ascii="Calibri" w:hAnsi="Calibri"/>
          <w:b/>
          <w:color w:val="1E293B"/>
          <w:sz w:val="19"/>
        </w:rPr>
        <w:t>Case 13:</w:t>
      </w:r>
      <w:r>
        <w:rPr>
          <w:rFonts w:ascii="Calibri" w:hAnsi="Calibri"/>
          <w:color w:val="1E293B"/>
          <w:sz w:val="19"/>
        </w:rPr>
        <w:t xml:space="preserve"> Hass School Complex Multi-Airstrike (Idlib, Syria, 2016) — </w:t>
      </w:r>
      <w:r>
        <w:rPr>
          <w:rFonts w:ascii="Calibri" w:hAnsi="Calibri"/>
          <w:i/>
          <w:color w:val="1E293B"/>
          <w:sz w:val="19"/>
        </w:rPr>
        <w:t>Thermobaric Parachute Bombs, Double-Tap Aerial Ambush of Evacuating Schoolchildren &amp; Visual Chronolocation</w:t>
      </w:r>
    </w:p>
    <w:p>
      <w:pPr>
        <w:pStyle w:val="ListBullet"/>
        <w:spacing w:before="20" w:after="40"/>
      </w:pPr>
      <w:r>
        <w:rPr>
          <w:rFonts w:ascii="Calibri" w:hAnsi="Calibri"/>
          <w:b/>
          <w:color w:val="1E293B"/>
          <w:sz w:val="19"/>
        </w:rPr>
        <w:t>Case 14:</w:t>
      </w:r>
      <w:r>
        <w:rPr>
          <w:rFonts w:ascii="Calibri" w:hAnsi="Calibri"/>
          <w:color w:val="1E293B"/>
          <w:sz w:val="19"/>
        </w:rPr>
        <w:t xml:space="preserve"> Abs Rural Hospital Airstrike (Hajjah, Yemen, 2016) — </w:t>
      </w:r>
      <w:r>
        <w:rPr>
          <w:rFonts w:ascii="Calibri" w:hAnsi="Calibri"/>
          <w:i/>
          <w:color w:val="1E293B"/>
          <w:sz w:val="19"/>
        </w:rPr>
        <w:t>Violation of Strict GPS Deconfliction Notifications &amp; Strikes Adjacent to Protected Medical Compounds</w:t>
      </w:r>
    </w:p>
    <w:p>
      <w:pPr>
        <w:pStyle w:val="ListBullet"/>
        <w:spacing w:before="20" w:after="40"/>
      </w:pPr>
      <w:r>
        <w:rPr>
          <w:rFonts w:ascii="Calibri" w:hAnsi="Calibri"/>
          <w:b/>
          <w:color w:val="1E293B"/>
          <w:sz w:val="19"/>
        </w:rPr>
        <w:t>Case 16:</w:t>
      </w:r>
      <w:r>
        <w:rPr>
          <w:rFonts w:ascii="Calibri" w:hAnsi="Calibri"/>
          <w:color w:val="1E293B"/>
          <w:sz w:val="19"/>
        </w:rPr>
        <w:t xml:space="preserve"> Al-Bara Commercial &amp; Elementary School Bombing (Idlib, Syria, 2013/2020) — </w:t>
      </w:r>
      <w:r>
        <w:rPr>
          <w:rFonts w:ascii="Calibri" w:hAnsi="Calibri"/>
          <w:i/>
          <w:color w:val="1E293B"/>
          <w:sz w:val="19"/>
        </w:rPr>
        <w:t>Direct Kinetic Targeting of Educational Sanctuaries &amp; Verification of Zero Military Presence</w:t>
      </w:r>
    </w:p>
    <w:p>
      <w:pPr>
        <w:pStyle w:val="ListBullet"/>
        <w:spacing w:before="20" w:after="40"/>
      </w:pPr>
      <w:r>
        <w:rPr>
          <w:rFonts w:ascii="Calibri" w:hAnsi="Calibri"/>
          <w:b/>
          <w:color w:val="1E293B"/>
          <w:sz w:val="19"/>
        </w:rPr>
        <w:t>Case 17:</w:t>
      </w:r>
      <w:r>
        <w:rPr>
          <w:rFonts w:ascii="Calibri" w:hAnsi="Calibri"/>
          <w:color w:val="1E293B"/>
          <w:sz w:val="19"/>
        </w:rPr>
        <w:t xml:space="preserve"> Chernihiv Schools Nos. 18 &amp; 21 Multi-Bomb Strike (Ukraine, 2022) — </w:t>
      </w:r>
      <w:r>
        <w:rPr>
          <w:rFonts w:ascii="Calibri" w:hAnsi="Calibri"/>
          <w:i/>
          <w:color w:val="1E293B"/>
          <w:sz w:val="19"/>
        </w:rPr>
        <w:t>Unguided FAB-500 Stick Bombing across Educational Campuses and Queuing Breadlines</w:t>
      </w:r>
    </w:p>
    <w:p>
      <w:pPr>
        <w:pStyle w:val="ListBullet"/>
        <w:spacing w:before="20" w:after="40"/>
      </w:pPr>
      <w:r>
        <w:rPr>
          <w:rFonts w:ascii="Calibri" w:hAnsi="Calibri"/>
          <w:b/>
          <w:color w:val="1E293B"/>
          <w:sz w:val="19"/>
        </w:rPr>
        <w:t>Case 18:</w:t>
      </w:r>
      <w:r>
        <w:rPr>
          <w:rFonts w:ascii="Calibri" w:hAnsi="Calibri"/>
          <w:color w:val="1E293B"/>
          <w:sz w:val="19"/>
        </w:rPr>
        <w:t xml:space="preserve"> Mastaba Market Double Airstrike (Hajjah, Yemen, 2016) — </w:t>
      </w:r>
      <w:r>
        <w:rPr>
          <w:rFonts w:ascii="Calibri" w:hAnsi="Calibri"/>
          <w:i/>
          <w:color w:val="1E293B"/>
          <w:sz w:val="19"/>
        </w:rPr>
        <w:t>Midday Double-Strike on Congested Commercial Hubs, Guidance Kit CAGE Codes &amp; Corporate Complicity</w:t>
      </w:r>
    </w:p>
    <w:p>
      <w:pPr>
        <w:pStyle w:val="ListBullet"/>
        <w:spacing w:before="20" w:after="40"/>
      </w:pPr>
      <w:r>
        <w:rPr>
          <w:rFonts w:ascii="Calibri" w:hAnsi="Calibri"/>
          <w:b/>
          <w:color w:val="1E293B"/>
          <w:sz w:val="19"/>
        </w:rPr>
        <w:t>Case 19:</w:t>
      </w:r>
      <w:r>
        <w:rPr>
          <w:rFonts w:ascii="Calibri" w:hAnsi="Calibri"/>
          <w:color w:val="1E293B"/>
          <w:sz w:val="19"/>
        </w:rPr>
        <w:t xml:space="preserve"> Shaami-Yurt Refugee Convoy Strike (Chechnya, 1999) — </w:t>
      </w:r>
      <w:r>
        <w:rPr>
          <w:rFonts w:ascii="Calibri" w:hAnsi="Calibri"/>
          <w:i/>
          <w:color w:val="1E293B"/>
          <w:sz w:val="19"/>
        </w:rPr>
        <w:t>Arbitrary Closure of Humanitarian Corridors, S-24 Rocket Salvoes into Civilian Traffic &amp; Red Cross Destruction</w:t>
      </w:r>
    </w:p>
    <w:p>
      <w:pPr>
        <w:spacing w:before="40" w:after="80" w:line="276" w:lineRule="auto"/>
      </w:pPr>
      <w:r>
        <w:rPr>
          <w:rFonts w:ascii="Calibri" w:hAnsi="Calibri"/>
          <w:color w:val="1E293B"/>
          <w:sz w:val="20"/>
        </w:rPr>
        <w:t>For each case, two exhaustive, structured judicial charts are established:</w:t>
      </w:r>
    </w:p>
    <w:p>
      <w:pPr>
        <w:spacing w:before="40" w:after="60"/>
        <w:ind w:left="432"/>
      </w:pPr>
      <w:r>
        <w:rPr>
          <w:b/>
          <w:sz w:val="19"/>
        </w:rPr>
        <w:t xml:space="preserve">1. </w:t>
      </w:r>
      <w:r>
        <w:rPr>
          <w:rFonts w:ascii="Calibri" w:hAnsi="Calibri"/>
          <w:b/>
          <w:color w:val="1E293B"/>
          <w:sz w:val="19"/>
        </w:rPr>
        <w:t>Chart A: The Top 10 Most Cited Reports, Official Documents, and Legal Treatises</w:t>
      </w:r>
      <w:r>
        <w:rPr>
          <w:rFonts w:ascii="Calibri" w:hAnsi="Calibri"/>
          <w:color w:val="1E293B"/>
          <w:sz w:val="19"/>
        </w:rPr>
        <w:t xml:space="preserve"> (with canonical links, citations, and evidentiary value).</w:t>
      </w:r>
    </w:p>
    <w:p>
      <w:pPr>
        <w:spacing w:before="40" w:after="60"/>
        <w:ind w:left="432"/>
      </w:pPr>
      <w:r>
        <w:rPr>
          <w:b/>
          <w:sz w:val="19"/>
        </w:rPr>
        <w:t xml:space="preserve">2. </w:t>
      </w:r>
      <w:r>
        <w:rPr>
          <w:rFonts w:ascii="Calibri" w:hAnsi="Calibri"/>
          <w:b/>
          <w:color w:val="1E293B"/>
          <w:sz w:val="19"/>
        </w:rPr>
        <w:t>Chart B: Forensic Data Points, Substantive Legal Principles &amp; Exact Paragraph Mapping into the Minab Report</w:t>
      </w:r>
      <w:r>
        <w:rPr>
          <w:rFonts w:ascii="Calibri" w:hAnsi="Calibri"/>
          <w:color w:val="1E293B"/>
          <w:sz w:val="19"/>
        </w:rPr>
        <w:t xml:space="preserve"> (</w:t>
      </w:r>
      <w:r>
        <w:rPr>
          <w:rFonts w:ascii="Consolas" w:hAnsi="Consolas"/>
          <w:color w:val="831843"/>
          <w:sz w:val="18"/>
        </w:rPr>
        <w:t>FACTUAL_DETERMINATION_AND_COMPLAINT_MASTER.md</w:t>
      </w:r>
      <w:r>
        <w:rPr>
          <w:rFonts w:ascii="Calibri" w:hAnsi="Calibri"/>
          <w:color w:val="1E293B"/>
          <w:sz w:val="19"/>
        </w:rPr>
        <w:t>).</w:t>
      </w:r>
    </w:p>
    <w:p>
      <w:pPr>
        <w:spacing w:before="80" w:after="80"/>
        <w:jc w:val="center"/>
      </w:pPr>
      <w:r>
        <w:rPr>
          <w:color w:val="CBD5E1"/>
        </w:rPr>
        <w:t>————————————————————————————————</w:t>
      </w:r>
    </w:p>
    <w:p>
      <w:pPr>
        <w:spacing w:before="320" w:after="80"/>
      </w:pPr>
      <w:r>
        <w:rPr>
          <w:rFonts w:ascii="Calibri" w:hAnsi="Calibri"/>
          <w:b/>
          <w:color w:val="0F172A"/>
          <w:sz w:val="30"/>
        </w:rPr>
        <w:t>CASE 01: BOMBING OF THE CHINESE EMBASSY IN BELGRADE (MAY 7, 1999)</w:t>
      </w:r>
    </w:p>
    <w:p>
      <w:pPr>
        <w:spacing w:before="200" w:after="60"/>
      </w:pPr>
      <w:r>
        <w:rPr>
          <w:rFonts w:ascii="Calibri" w:hAnsi="Calibri"/>
          <w:b/>
          <w:color w:val="334155"/>
          <w:sz w:val="22"/>
        </w:rPr>
        <w:t>Chart 1.1: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ICTY Office of the Prosecutor (OTP)</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Final Report to the Prosecutor by the Committee Established to Review the NATO Bombing Campaign Against the Federal Republic of Yugoslavia</w:t>
            </w:r>
            <w:r>
              <w:rPr>
                <w:rFonts w:ascii="Calibri" w:hAnsi="Calibri"/>
                <w:color w:val="1E293B"/>
                <w:sz w:val="17"/>
              </w:rPr>
              <w:t xml:space="preserve"> (13 June 2000), ¶¶ 80–85.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icty.org/en/press/final-report-nato-bombing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judicial finding on targeting negligence: establishes that the bombing resulted from flawed location techniques and circular database reviews; exonerates tactical aircrew (§ 85) while concentrating failure upstream.</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U.S. Department of State / Under Secretary Thomas R. Pickering</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Oral Presentation on the Chinese Embassy Bombing by Under Secretary of State Thomas R. Pickering to the PRC Government</w:t>
            </w:r>
            <w:r>
              <w:rPr>
                <w:rFonts w:ascii="Calibri" w:hAnsi="Calibri"/>
                <w:color w:val="1E293B"/>
                <w:sz w:val="17"/>
              </w:rPr>
              <w:t xml:space="preserve"> (Beijing, 17 June 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fas.org/irp/eprint/pickering.htm</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Formal state admission detailing the three-tier failure: (1) flawed land navigation ("intersection/resection"); (2) database omission of the new embassy; (3) circular validation without consulting external sources.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U.S. House Permanent Select Committee on Intelligence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Hearing on the Bombing of the Chinese Embassy in Belgrade</w:t>
            </w:r>
            <w:r>
              <w:rPr>
                <w:rFonts w:ascii="Calibri" w:hAnsi="Calibri"/>
                <w:color w:val="1E293B"/>
                <w:sz w:val="17"/>
              </w:rPr>
              <w:t>, Statement of DCI George J. Tenet (22 July 1999).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cia.gov/readingroom/document/tenet-belgrade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Declassified intelligence inquiry admitting reliance on outdated 1997 NIMA maps and tourist guides, failure to verify against open cadastral records, and suppression of an internal late warning.</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United Nations Security Council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Verbatim Record of the 4000th Emergency Meeting of the Security Council</w:t>
            </w:r>
            <w:r>
              <w:rPr>
                <w:rFonts w:ascii="Calibri" w:hAnsi="Calibri"/>
                <w:color w:val="1E293B"/>
                <w:sz w:val="17"/>
              </w:rPr>
              <w:t>, UN Doc. S/PV.4000 (8 May 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undocs.org/S/PV.4000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Diplomatic record of emergency proceedings following the strike; PRC submission establishing inviolability of diplomatic missions and characterization of the strike as a grave breach of international law.</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“Collateral Damage” or Unlawful Killings? Violations of the Laws of War by NATO during Operation Allied Force</w:t>
            </w:r>
            <w:r>
              <w:rPr>
                <w:rFonts w:ascii="Calibri" w:hAnsi="Calibri"/>
                <w:color w:val="1E293B"/>
                <w:sz w:val="17"/>
              </w:rPr>
              <w:t xml:space="preserve"> (AI Index: EUR 70/018/2000, June 2000), Section: Chinese Embassy.</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amnesty.org/en/documents/eur70/018/2000/en/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field investigation challenging the "mistake" defense under Additional Protocol I, Art. 57; argues that failure to verify known diplomatic structures in an urban capital constitutes reckless disregard.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W. J. Fenrick (Senior Legal Adviser, ICTY OTP)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and Proportionality during the NATO Bombing Campaign against Yugoslavia,"</w:t>
            </w:r>
            <w:r>
              <w:rPr>
                <w:rFonts w:ascii="Calibri" w:hAnsi="Calibri"/>
                <w:color w:val="1E293B"/>
                <w:sz w:val="17"/>
              </w:rPr>
              <w:t xml:space="preserve"> 12 </w:t>
            </w:r>
            <w:r>
              <w:rPr>
                <w:rFonts w:ascii="Calibri" w:hAnsi="Calibri"/>
                <w:i/>
                <w:color w:val="1E293B"/>
                <w:sz w:val="17"/>
              </w:rPr>
              <w:t>European Journal of International Law</w:t>
            </w:r>
            <w:r>
              <w:rPr>
                <w:rFonts w:ascii="Calibri" w:hAnsi="Calibri"/>
                <w:color w:val="1E293B"/>
                <w:sz w:val="17"/>
              </w:rPr>
              <w:t xml:space="preserve"> 489–502 (2001).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academic.oup.com/ejil/article/12/3/489/410656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scholarly critique by the lead drafter of the ICTY OTP report, analyzing the standard of criminal recklessness (</w:t>
            </w:r>
            <w:r>
              <w:rPr>
                <w:rFonts w:ascii="Calibri" w:hAnsi="Calibri"/>
                <w:i/>
                <w:color w:val="1E293B"/>
                <w:sz w:val="17"/>
              </w:rPr>
              <w:t>mens rea</w:t>
            </w:r>
            <w:r>
              <w:rPr>
                <w:rFonts w:ascii="Calibri" w:hAnsi="Calibri"/>
                <w:color w:val="1E293B"/>
                <w:sz w:val="17"/>
              </w:rPr>
              <w:t>) versus institutional negligence in state targeting processes.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and Humanitarian Law: Current Issues,"</w:t>
            </w:r>
            <w:r>
              <w:rPr>
                <w:rFonts w:ascii="Calibri" w:hAnsi="Calibri"/>
                <w:color w:val="1E293B"/>
                <w:sz w:val="17"/>
              </w:rPr>
              <w:t xml:space="preserve"> 34 </w:t>
            </w:r>
            <w:r>
              <w:rPr>
                <w:rFonts w:ascii="Calibri" w:hAnsi="Calibri"/>
                <w:i/>
                <w:color w:val="1E293B"/>
                <w:sz w:val="17"/>
              </w:rPr>
              <w:t>Israel Yearbook on Human Rights</w:t>
            </w:r>
            <w:r>
              <w:rPr>
                <w:rFonts w:ascii="Calibri" w:hAnsi="Calibri"/>
                <w:color w:val="1E293B"/>
                <w:sz w:val="17"/>
              </w:rPr>
              <w:t xml:space="preserve"> 59–104 (2004) / </w:t>
            </w:r>
            <w:r>
              <w:rPr>
                <w:rFonts w:ascii="Calibri" w:hAnsi="Calibri"/>
                <w:i/>
                <w:color w:val="1E293B"/>
                <w:sz w:val="17"/>
              </w:rPr>
              <w:t>"Precision Attack,"</w:t>
            </w:r>
            <w:r>
              <w:rPr>
                <w:rFonts w:ascii="Calibri" w:hAnsi="Calibri"/>
                <w:color w:val="1E293B"/>
                <w:sz w:val="17"/>
              </w:rPr>
              <w:t xml:space="preserve"> 87 </w:t>
            </w:r>
            <w:r>
              <w:rPr>
                <w:rFonts w:ascii="Calibri" w:hAnsi="Calibri"/>
                <w:i/>
                <w:color w:val="1E293B"/>
                <w:sz w:val="17"/>
              </w:rPr>
              <w:t>IRRC</w:t>
            </w:r>
            <w:r>
              <w:rPr>
                <w:rFonts w:ascii="Calibri" w:hAnsi="Calibri"/>
                <w:color w:val="1E293B"/>
                <w:sz w:val="17"/>
              </w:rPr>
              <w:t xml:space="preserve"> 445 (2005).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icrc.org/en/doc/assets/files/other/irrc_859_schmitt.pdf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Canonical analysis of the "Pickering Doctrine" regarding peacetime target folders; demonstrates that target planners cannot invoke "fog of war" when targets are nominated weeks prior to execution.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U.S.-China Bilateral Claims Settlement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Agreement between the Government of the United States of America and the Government of the People's Republic of China Concerning Settlement of Claims Relating to the Bombing of the PRC Embassy in Belgrade</w:t>
            </w:r>
            <w:r>
              <w:rPr>
                <w:rFonts w:ascii="Calibri" w:hAnsi="Calibri"/>
                <w:color w:val="1E293B"/>
                <w:sz w:val="17"/>
              </w:rPr>
              <w:t xml:space="preserve"> (16 Dec 1999, 39 ILM 644).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state.gov/treaties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bilateral state practice: United States paid \$28 million in sovereign property compensation and \$4.5 million in voluntary humanitarian payments to the victims' families, acknowledging state financial liability.</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Deaths in the NATO Air Campaign</w:t>
            </w:r>
            <w:r>
              <w:rPr>
                <w:rFonts w:ascii="Calibri" w:hAnsi="Calibri"/>
                <w:color w:val="1E293B"/>
                <w:sz w:val="17"/>
              </w:rPr>
              <w:t xml:space="preserve"> (HRW Report, Feb 2000, Vol. 12, No. 1(D)), Chapter: Target Selection and Verification.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hrw.org/reports/2000/nato/</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Documentation of casualties and damage; demonstrates that NATO failed to incorporate available municipal telephone directories and commercial maps that correctly identified the embassy.</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Ove Bring</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Legality of NATO’s Aerial Actions: A Commentary on the NATO Operation in the Light of the 1999 Hague Appeal for Peace,"</w:t>
            </w:r>
            <w:r>
              <w:rPr>
                <w:rFonts w:ascii="Calibri" w:hAnsi="Calibri"/>
                <w:color w:val="1E293B"/>
                <w:sz w:val="17"/>
              </w:rPr>
              <w:t xml:space="preserve"> 43 </w:t>
            </w:r>
            <w:r>
              <w:rPr>
                <w:rFonts w:ascii="Calibri" w:hAnsi="Calibri"/>
                <w:i/>
                <w:color w:val="1E293B"/>
                <w:sz w:val="17"/>
              </w:rPr>
              <w:t>ZaöRV</w:t>
            </w:r>
            <w:r>
              <w:rPr>
                <w:rFonts w:ascii="Calibri" w:hAnsi="Calibri"/>
                <w:color w:val="1E293B"/>
                <w:sz w:val="17"/>
              </w:rPr>
              <w:t xml:space="preserve"> 801–830 (2000).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zaoerv.de/bring-nato-1999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Rigorous Nordic public international law treatise analyzing the customary standards of target verification (CIHL Rule 15) and state responsibility arising from intelligence negligence.</w:t>
            </w:r>
          </w:p>
        </w:tc>
      </w:tr>
    </w:tbl>
    <w:p>
      <w:pPr>
        <w:spacing w:after="120"/>
      </w:pPr>
    </w:p>
    <w:p>
      <w:pPr>
        <w:spacing w:before="200" w:after="60"/>
      </w:pPr>
      <w:r>
        <w:rPr>
          <w:rFonts w:ascii="Calibri" w:hAnsi="Calibri"/>
          <w:b/>
          <w:color w:val="334155"/>
          <w:sz w:val="22"/>
        </w:rPr>
        <w:t>Chart 1.2: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"Three-Stage Pickering Test" of Targeting Failure:</w:t>
            </w:r>
            <w:r>
              <w:rPr>
                <w:rFonts w:ascii="Calibri" w:hAnsi="Calibri"/>
                <w:color w:val="1E293B"/>
                <w:sz w:val="17"/>
              </w:rPr>
              <w:t xml:space="preserve"> (1) Flawed nomination technique, (2) database omission, (3) target review board circularity.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Pickering Presentation</w:t>
            </w:r>
            <w:r>
              <w:rPr>
                <w:rFonts w:ascii="Calibri" w:hAnsi="Calibri"/>
                <w:color w:val="1E293B"/>
                <w:sz w:val="17"/>
              </w:rPr>
              <w:t xml:space="preserve">; </w:t>
            </w:r>
            <w:r>
              <w:rPr>
                <w:rFonts w:ascii="Calibri" w:hAnsi="Calibri"/>
                <w:i/>
                <w:color w:val="1E293B"/>
                <w:sz w:val="17"/>
              </w:rPr>
              <w:t>Tenet Testimony</w:t>
            </w:r>
            <w:r>
              <w:rPr>
                <w:rFonts w:ascii="Calibri" w:hAnsi="Calibri"/>
                <w:color w:val="1E293B"/>
                <w:sz w:val="17"/>
              </w:rPr>
              <w:t>; ICTY OTP Report ¶¶ 81–83.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6.2 (¶ 62 bis, ¶ 63)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adopts the tripartite analytical framework established by the ICTY OTP in the Belgrade Embassy precedent. In Minab, CENTCOM committed an identical threefold failure: (1) relying upon outdated 2016 DIA target folders; (2) omitting the Shajareh Tayyebeh School from the localized No-Strike List; and (3) permitting the automated Maven-Claude AI pipeline to clear coordinates through circular cross-checks against the very DIA database that introduced the original error."</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Upstream Concentration of Liability (The ICTY § 85 Rule):</w:t>
            </w:r>
            <w:r>
              <w:rPr>
                <w:rFonts w:ascii="Calibri" w:hAnsi="Calibri"/>
                <w:color w:val="1E293B"/>
                <w:sz w:val="17"/>
              </w:rPr>
              <w:t xml:space="preserve"> Exoneration of tactical delivery crews; concentration of culpability upon target development cells.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ICTY OTP Report ¶ 85; </w:t>
            </w:r>
            <w:r>
              <w:rPr>
                <w:rFonts w:ascii="Calibri" w:hAnsi="Calibri"/>
                <w:i/>
                <w:color w:val="1E293B"/>
                <w:sz w:val="17"/>
              </w:rPr>
              <w:t>Erdemović</w:t>
            </w:r>
            <w:r>
              <w:rPr>
                <w:rFonts w:ascii="Calibri" w:hAnsi="Calibri"/>
                <w:color w:val="1E293B"/>
                <w:sz w:val="17"/>
              </w:rPr>
              <w:t xml:space="preserve"> (ICTY 1996); Rome Statute Art. 28.</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VIII, § 8.1 (¶ 88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"Applying the canonical holding of Paragraph 85 of the ICTY NATO Report, the Panel holds that tactical launch crews aboard USS Abraham Lincoln (CSG-3) who programmed and fired BGM-109 Tomahawk cruise missiles are relieved of targeting culpability. International criminal responsibility and state accountability concentrate exclusively upstream upon DIA target nominators and the strike approval authority who bypassed open-source ground checks."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Peacetime Target Nomination Standard:</w:t>
            </w:r>
            <w:r>
              <w:rPr>
                <w:rFonts w:ascii="Calibri" w:hAnsi="Calibri"/>
                <w:color w:val="1E293B"/>
                <w:sz w:val="17"/>
              </w:rPr>
              <w:t xml:space="preserve"> Inability to plead "combat urgency" or dynamic "fog of war" for pre-planned targets.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Schmitt (2004); Fenrick (2001); Additional Protocol I, Art. 57(2).</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6.1 (¶ 61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"Where an attacking force nominates, develops, and maintains an objective within a deliberate targeting cycle over a prolonged peacetime window (here, ten years between 2016 and 2026), the standard of feasible precautions under AP I Art. 57(2)(a)(i) is applied strictissimi juris. The state cannot retroactively invoke combat urgency or opening-salvo fog of war to forgive a ten-year failure of cartographic updating."</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State Responsibility and Sovereign Restitution:</w:t>
            </w:r>
            <w:r>
              <w:rPr>
                <w:rFonts w:ascii="Calibri" w:hAnsi="Calibri"/>
                <w:color w:val="1E293B"/>
                <w:sz w:val="17"/>
              </w:rPr>
              <w:t xml:space="preserve"> Payment of \$28M + \$4.5M establishing financial compensation obligation under customary law.</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39 ILM 644; PCIJ </w:t>
            </w:r>
            <w:r>
              <w:rPr>
                <w:rFonts w:ascii="Calibri" w:hAnsi="Calibri"/>
                <w:i/>
                <w:color w:val="1E293B"/>
                <w:sz w:val="17"/>
              </w:rPr>
              <w:t>Chorzów Factory</w:t>
            </w:r>
            <w:r>
              <w:rPr>
                <w:rFonts w:ascii="Calibri" w:hAnsi="Calibri"/>
                <w:color w:val="1E293B"/>
                <w:sz w:val="17"/>
              </w:rPr>
              <w:t>; ILC ARSIWA Articles 31, 34, 36.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X, § 10.2 (¶ 97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observes that following the Belgrade strike, the United States Government tendered \$32.5 million in state compensation. Under the Chorzów Factory principle of full reparation (restitutio in integrum) codified in ARSIWA Article 36, the United States is under an identical international legal obligation to tender full material compensation to the families of the 156 martyred schoolchildren and educators of Minab."</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02: KUNDUZ FUEL TANKERS AIRSTRIKE (SEPTEMBER 4, 2009)</w:t>
      </w:r>
    </w:p>
    <w:p>
      <w:pPr>
        <w:spacing w:before="200" w:after="60"/>
      </w:pPr>
      <w:r>
        <w:rPr>
          <w:rFonts w:ascii="Calibri" w:hAnsi="Calibri"/>
          <w:b/>
          <w:color w:val="334155"/>
          <w:sz w:val="22"/>
        </w:rPr>
        <w:t>Chart 2.1: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Court of Human Rights (Grand Chamber)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Hanan v. Germany</w:t>
            </w:r>
            <w:r>
              <w:rPr>
                <w:rFonts w:ascii="Calibri" w:hAnsi="Calibri"/>
                <w:color w:val="1E293B"/>
                <w:sz w:val="17"/>
              </w:rPr>
              <w:t xml:space="preserve"> (Application no. 4871/16), Grand Chamber Judgment of 16 February 2021.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hudoc.echr.coe.int/eng?i=001-207936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Seminal Grand Chamber judgment establishing the "special features" doctrine under Article 1 ECHR, affirming a detachable procedural duty under Article 2 to effectively investigate extraterritorial kinetic airstrikes.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German Bundestag Parliamentary Inquiry Committee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Beschlussempfehlung und Bericht des 1. Untersuchungsausschusses nach Artikel 44 des Grundgesetzes</w:t>
            </w:r>
            <w:r>
              <w:rPr>
                <w:rFonts w:ascii="Calibri" w:hAnsi="Calibri"/>
                <w:color w:val="1E293B"/>
                <w:sz w:val="17"/>
              </w:rPr>
              <w:t xml:space="preserve"> (Drucksache 17/7400, 25 Oct 2011, 584 pp.).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dserver.bundestag.de/btd/17/074/1707400.pdf</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parliamentary investigation detailing Colonel Klein's single-source reliance on informant "Peter", the manufactured "TIC" declaration, and the refusal of pilot-proposed warning passes.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German Federal Prosecutor General (*Generalbundesanwalt*)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Ermittlungsverfahren gegen Oberst Klein und Hauptfeldwebel W. wegen des Luftangriffs bei Kundus am 4. September 2009</w:t>
            </w:r>
            <w:r>
              <w:rPr>
                <w:rFonts w:ascii="Calibri" w:hAnsi="Calibri"/>
                <w:color w:val="1E293B"/>
                <w:sz w:val="17"/>
              </w:rPr>
              <w:t xml:space="preserve"> (Decision of 16 April 2010, 3 BJs 6/10-4).</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generalbundesanwalt.de/kunduz-einstellungsverfuegung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Prosecutorial assessment of the reasonable military commander standard (</w:t>
            </w:r>
            <w:r>
              <w:rPr>
                <w:rFonts w:ascii="Calibri" w:hAnsi="Calibri"/>
                <w:i/>
                <w:color w:val="1E293B"/>
                <w:sz w:val="17"/>
              </w:rPr>
              <w:t>ex ante</w:t>
            </w:r>
            <w:r>
              <w:rPr>
                <w:rFonts w:ascii="Calibri" w:hAnsi="Calibri"/>
                <w:color w:val="1E293B"/>
                <w:sz w:val="17"/>
              </w:rPr>
              <w:t xml:space="preserve"> evaluation) under the German International Crimes Code (</w:t>
            </w:r>
            <w:r>
              <w:rPr>
                <w:rFonts w:ascii="Calibri" w:hAnsi="Calibri"/>
                <w:i/>
                <w:color w:val="1E293B"/>
                <w:sz w:val="17"/>
              </w:rPr>
              <w:t>Völkerstrafgesetzbuch</w:t>
            </w:r>
            <w:r>
              <w:rPr>
                <w:rFonts w:ascii="Calibri" w:hAnsi="Calibri"/>
                <w:color w:val="1E293B"/>
                <w:sz w:val="17"/>
              </w:rPr>
              <w:t xml:space="preserve"> - VStGB).</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UNAMA Human Rights Unit &amp; UN OHCHR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Afghanistan: Annual Report on Protection of Civilians in Armed Conflict, 2009</w:t>
            </w:r>
            <w:r>
              <w:rPr>
                <w:rFonts w:ascii="Calibri" w:hAnsi="Calibri"/>
                <w:color w:val="1E293B"/>
                <w:sz w:val="17"/>
              </w:rPr>
              <w:t xml:space="preserve"> (Kabul, Jan 2010), Section: Kunduz River Sandbank Airstrike.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unama.unmissions.org/poc-reports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Independent UN fact-finding verifying over 90 civilian fatalities, including dozens of children collecting fuel with buckets; established failure to verify target identity before weapon release.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Marko Milanovic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"Hanan v. Germany: The Grand Chamber’s Latest Judgment on Extraterritorial Application of the ECHR,"</w:t>
            </w:r>
            <w:r>
              <w:rPr>
                <w:rFonts w:ascii="Calibri" w:hAnsi="Calibri"/>
                <w:color w:val="1E293B"/>
                <w:sz w:val="17"/>
              </w:rPr>
              <w:t xml:space="preserve"> </w:t>
            </w:r>
            <w:r>
              <w:rPr>
                <w:rFonts w:ascii="Calibri" w:hAnsi="Calibri"/>
                <w:i/>
                <w:color w:val="1E293B"/>
                <w:sz w:val="17"/>
              </w:rPr>
              <w:t>EJIL:Talk!</w:t>
            </w:r>
            <w:r>
              <w:rPr>
                <w:rFonts w:ascii="Calibri" w:hAnsi="Calibri"/>
                <w:color w:val="1E293B"/>
                <w:sz w:val="17"/>
              </w:rPr>
              <w:t xml:space="preserve"> (18 Feb 2021).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ejiltalk.org/hanan-v-germany-the-grand-chambers-latest-judgment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academic deconstruction of the jurisdictional link under ECHR Art. 1, analyzing the intersection between IHL targeting rules and human rights investigative mandates.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Claus Kreß</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German Federal Prosecutor General’s Decision on the Kunduz Airstrike: A Critical Appraisal,"</w:t>
            </w:r>
            <w:r>
              <w:rPr>
                <w:rFonts w:ascii="Calibri" w:hAnsi="Calibri"/>
                <w:color w:val="1E293B"/>
                <w:sz w:val="17"/>
              </w:rPr>
              <w:t xml:space="preserve"> 10 </w:t>
            </w:r>
            <w:r>
              <w:rPr>
                <w:rFonts w:ascii="Calibri" w:hAnsi="Calibri"/>
                <w:i/>
                <w:color w:val="1E293B"/>
                <w:sz w:val="17"/>
              </w:rPr>
              <w:t>Journal of International Criminal Justice</w:t>
            </w:r>
            <w:r>
              <w:rPr>
                <w:rFonts w:ascii="Calibri" w:hAnsi="Calibri"/>
                <w:color w:val="1E293B"/>
                <w:sz w:val="17"/>
              </w:rPr>
              <w:t xml:space="preserve"> 433–447 (2012).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doi.org/10.1093/jicj/mqs010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Rigorous analysis of the subjective </w:t>
            </w:r>
            <w:r>
              <w:rPr>
                <w:rFonts w:ascii="Calibri" w:hAnsi="Calibri"/>
                <w:i/>
                <w:color w:val="1E293B"/>
                <w:sz w:val="17"/>
              </w:rPr>
              <w:t>ex ante</w:t>
            </w:r>
            <w:r>
              <w:rPr>
                <w:rFonts w:ascii="Calibri" w:hAnsi="Calibri"/>
                <w:color w:val="1E293B"/>
                <w:sz w:val="17"/>
              </w:rPr>
              <w:t xml:space="preserve"> knowledge standard under IHL versus the objective obligation to exhaust all available verification measures prior to kinetic execution.</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NATO / ISAF Joint Investigation Board</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ISAF Incident Assessment: Kunduz River Sandbank Airstrike of 4 September 2009</w:t>
            </w:r>
            <w:r>
              <w:rPr>
                <w:rFonts w:ascii="Calibri" w:hAnsi="Calibri"/>
                <w:color w:val="1E293B"/>
                <w:sz w:val="17"/>
              </w:rPr>
              <w:t xml:space="preserve"> (Kabul/Brussels, Oct 2009).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nato.int/isaf/kunduz-findings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Tactical air inquiry establishing that F-15E pilots explicitly warned the ground commander of potential civilian signatures on thermal FLIR and repeatedly offered a low-altitude "show of force" which was rejected.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in Operational Law,"</w:t>
            </w:r>
            <w:r>
              <w:rPr>
                <w:rFonts w:ascii="Calibri" w:hAnsi="Calibri"/>
                <w:color w:val="1E293B"/>
                <w:sz w:val="17"/>
              </w:rPr>
              <w:t xml:space="preserve"> in Gill &amp; Fleck (eds.), </w:t>
            </w:r>
            <w:r>
              <w:rPr>
                <w:rFonts w:ascii="Calibri" w:hAnsi="Calibri"/>
                <w:i/>
                <w:color w:val="1E293B"/>
                <w:sz w:val="17"/>
              </w:rPr>
              <w:t>The Handbook of the International Law of Military Operations</w:t>
            </w:r>
            <w:r>
              <w:rPr>
                <w:rFonts w:ascii="Calibri" w:hAnsi="Calibri"/>
                <w:color w:val="1E293B"/>
                <w:sz w:val="17"/>
              </w:rPr>
              <w:t xml:space="preserve"> (Oxford University Press, 2010), pp. 245–275.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global.oup.com/academic/product/the-handbook-of-the-international-law-of-military-operations-9780198744429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evaluation of the Kunduz strike under Customary IHL Rules 15–20; analyzes the legal threshold of positive target identification (PID) in remote FLIR sensor environments.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German Federal Court of Justice (*Bundesgerichtshof*)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Urteil des III. Zivilsenats vom 6. Oktober 2016 – III ZR 140/15</w:t>
            </w:r>
            <w:r>
              <w:rPr>
                <w:rFonts w:ascii="Calibri" w:hAnsi="Calibri"/>
                <w:color w:val="1E293B"/>
                <w:sz w:val="17"/>
              </w:rPr>
              <w:t xml:space="preserve"> (Kunduz Compensation Litigation).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juris.bundesgerichtshof.de/bgh-kunduz</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Benchmark civil liability ruling examining official state liability (</w:t>
            </w:r>
            <w:r>
              <w:rPr>
                <w:rFonts w:ascii="Calibri" w:hAnsi="Calibri"/>
                <w:i/>
                <w:color w:val="1E293B"/>
                <w:sz w:val="17"/>
              </w:rPr>
              <w:t>Amtshaftung</w:t>
            </w:r>
            <w:r>
              <w:rPr>
                <w:rFonts w:ascii="Calibri" w:hAnsi="Calibri"/>
                <w:color w:val="1E293B"/>
                <w:sz w:val="17"/>
              </w:rPr>
              <w:t>) under German Basic Law Art. 34 and customary international law governing civilian damage claims.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Center for Constitutional and Human Rights (ECCHR)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Kunduz Airstrike: The Search for Justice in Germany and Strasbourg</w:t>
            </w:r>
            <w:r>
              <w:rPr>
                <w:rFonts w:ascii="Calibri" w:hAnsi="Calibri"/>
                <w:color w:val="1E293B"/>
                <w:sz w:val="17"/>
              </w:rPr>
              <w:t xml:space="preserve"> (Case Report, Berlin, Feb 2021).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ecchr.eu/en/case/kunduz-air-strike-victims/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litigator dossier documenting victim identities, burial rituals, ex gratia payment dynamics, and structural flaws in European military accountability regimes.</w:t>
            </w:r>
          </w:p>
        </w:tc>
      </w:tr>
    </w:tbl>
    <w:p>
      <w:pPr>
        <w:spacing w:after="120"/>
      </w:pPr>
    </w:p>
    <w:p>
      <w:pPr>
        <w:spacing w:before="200" w:after="60"/>
      </w:pPr>
      <w:r>
        <w:rPr>
          <w:rFonts w:ascii="Calibri" w:hAnsi="Calibri"/>
          <w:b/>
          <w:color w:val="334155"/>
          <w:sz w:val="22"/>
        </w:rPr>
        <w:t>Chart 2.2: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Rejection of Precautionary "Show of Force" / Warning Options:</w:t>
            </w:r>
            <w:r>
              <w:rPr>
                <w:rFonts w:ascii="Calibri" w:hAnsi="Calibri"/>
                <w:color w:val="1E293B"/>
                <w:sz w:val="17"/>
              </w:rPr>
              <w:t xml:space="preserve"> Deliberate refusal to conduct low-altitude sensor passes or warnings to preserve tactical surprise.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Hanan v. Germany</w:t>
            </w:r>
            <w:r>
              <w:rPr>
                <w:rFonts w:ascii="Calibri" w:hAnsi="Calibri"/>
                <w:color w:val="1E293B"/>
                <w:sz w:val="17"/>
              </w:rPr>
              <w:t xml:space="preserve"> ¶¶ 28–35; ISAF Redacted Report; AP I Art. 57(2)(c).</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7.2 (¶ 80 ter) &amp; § 7.5 (¶ 85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observes that, exactly as occurred in Kunduz where Colonel K rejected pilot recommendations to conduct a low-altitude warning pass, CENTCOM in Minab possessed the technical capacity to employ non-kinetic warning mechanisms or conduct terminal optical verification via standoff UAVs. Rejecting all warning options in favor of sudden standoff annihilation constitutes a direct breach of Customary Rule 20."</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Sensor Ambiguity &amp; FLIR Resolution Limitations:</w:t>
            </w:r>
            <w:r>
              <w:rPr>
                <w:rFonts w:ascii="Calibri" w:hAnsi="Calibri"/>
                <w:color w:val="1E293B"/>
                <w:sz w:val="17"/>
              </w:rPr>
              <w:t xml:space="preserve"> Inability of infrared sensors to distinguish combatants from civilians carrying everyday objects.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Bundestag-Drucksache 17/7400; Kreß (2012); CIHL Rule 16.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6.4 (¶ 72 bis) &amp; § 6.5 (¶ 76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"Remote sensor feeds, whether 2009-era FLIR pods or 2026-era satellite feeds processed by Palantir Maven, suffer from severe cognitive ambiguity. Just as thermal hot spots representing villagers carrying fuel cans were hallucinated into armed insurgents in Kunduz, thermal signatures of schoolgirls arriving in morning uniform in Minab were mechanistically classified as military personnel by automated algorithms."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"Special Features" Jurisdictional Nexus (ECHR Art. 1):</w:t>
            </w:r>
            <w:r>
              <w:rPr>
                <w:rFonts w:ascii="Calibri" w:hAnsi="Calibri"/>
                <w:color w:val="1E293B"/>
                <w:sz w:val="17"/>
              </w:rPr>
              <w:t xml:space="preserve"> Establishing European universal jurisdiction and investigative duties for overseas military strikes.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Hanan v. Germany</w:t>
            </w:r>
            <w:r>
              <w:rPr>
                <w:rFonts w:ascii="Calibri" w:hAnsi="Calibri"/>
                <w:color w:val="1E293B"/>
                <w:sz w:val="17"/>
              </w:rPr>
              <w:t xml:space="preserve"> [GC] ¶¶ 132–145; </w:t>
            </w:r>
            <w:r>
              <w:rPr>
                <w:rFonts w:ascii="Calibri" w:hAnsi="Calibri"/>
                <w:i/>
                <w:color w:val="1E293B"/>
                <w:sz w:val="17"/>
              </w:rPr>
              <w:t>Güzelyurtlu v. Cyprus and Turkey</w:t>
            </w:r>
            <w:r>
              <w:rPr>
                <w:rFonts w:ascii="Calibri" w:hAnsi="Calibri"/>
                <w:color w:val="1E293B"/>
                <w:sz w:val="17"/>
              </w:rPr>
              <w:t xml:space="preserve"> [GC] (2019).</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9.3 (¶ 94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the 'special features' doctrine formulated by the ECtHR Grand Chamber in Hanan, when a European state’s military forces are implicated in overseas kinetic strikes, or when specialized civil defense infrastructure originating from a European jurisdiction (Finland) is targeted, a detachable procedural obligation under human rights law is triggered, establishing universal jurisdiction competence before Finnish prosecutors under Chapter 11, Section 6 of the Penal Code."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Informant Bias &amp; Single-Source Confirmation Fallacy:</w:t>
            </w:r>
            <w:r>
              <w:rPr>
                <w:rFonts w:ascii="Calibri" w:hAnsi="Calibri"/>
                <w:color w:val="1E293B"/>
                <w:sz w:val="17"/>
              </w:rPr>
              <w:t xml:space="preserve"> Reliance on unverified single-channel reporting to confirm target status.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Hanan</w:t>
            </w:r>
            <w:r>
              <w:rPr>
                <w:rFonts w:ascii="Calibri" w:hAnsi="Calibri"/>
                <w:color w:val="1E293B"/>
                <w:sz w:val="17"/>
              </w:rPr>
              <w:t xml:space="preserve"> ¶¶ 17–25; Schmitt (2010); DoD Law of War Manual § 5.11.</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6.2.1 (¶ 64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"Relying upon a single uncorroborated intelligence channel without secondary optical confirmation breaches the standard of the reasonable military commander. In Kunduz, a single Afghan informant misled the command; in Minab, an unrefreshed ten-year-old DIA database entry was accepted without a single human or optical confirmation."</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03: KATYR-YURT CONVOY AND VILLAGE BOMBARDMENT (FEBRUARY 4–7, 2000)</w:t>
      </w:r>
    </w:p>
    <w:p>
      <w:pPr>
        <w:spacing w:before="200" w:after="60"/>
      </w:pPr>
      <w:r>
        <w:rPr>
          <w:rFonts w:ascii="Calibri" w:hAnsi="Calibri"/>
          <w:b/>
          <w:color w:val="334155"/>
          <w:sz w:val="22"/>
        </w:rPr>
        <w:t>Chart 3.1: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Court of Human Rights (First Section)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Isayeva v. Russia</w:t>
            </w:r>
            <w:r>
              <w:rPr>
                <w:rFonts w:ascii="Calibri" w:hAnsi="Calibri"/>
                <w:color w:val="1E293B"/>
                <w:sz w:val="17"/>
              </w:rPr>
              <w:t xml:space="preserve"> (Application no. 57950/00), Judgment of 24 February 2005 (Final 6 July 2005).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hudoc.echr.coe.int/eng?i=001-68381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Landmark European judgment holding that the deployment of heavy aviation bombs (FAB-250/500) into a populated village violates Article 2 ECHR due to total failure to plan and control operations to minimize civilian risk.</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Court of Human Rights (First Section)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Abakarova v. Russia</w:t>
            </w:r>
            <w:r>
              <w:rPr>
                <w:rFonts w:ascii="Calibri" w:hAnsi="Calibri"/>
                <w:color w:val="1E293B"/>
                <w:sz w:val="17"/>
              </w:rPr>
              <w:t xml:space="preserve"> (Application no. 16664/07), Judgment of 15 October 2015.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hudoc.echr.coe.int/eng?i=001-157832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Second Katyr-Yurt judgment finding Russia liable for systemic investigative failures, destruction of flight logs, and refusal to hold operational commanders criminally accountable under Article 2.</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Achkhoy-Martan Military Prosecutor's Office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Criminal Investigation File No. 14/00/0004-00 on the Katyr-Yurt Bombardment</w:t>
            </w:r>
            <w:r>
              <w:rPr>
                <w:rFonts w:ascii="Calibri" w:hAnsi="Calibri"/>
                <w:color w:val="1E293B"/>
                <w:sz w:val="17"/>
              </w:rPr>
              <w:t xml:space="preserve"> (Prosecutor Decisions of March 2002 &amp; July 2007).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hudoc.echr.coe.int/katyr-prosecutor-file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Declassified domestic prosecution file disclosing military orders for Operation "Volk" (Wolf), sortie sheets for Su-25 aircraft, and repeated administrative closures to protect military generals.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“No Happiness Remains”: Civilian Killings, Hostage-Taking, and Rape in Chechnya</w:t>
            </w:r>
            <w:r>
              <w:rPr>
                <w:rFonts w:ascii="Calibri" w:hAnsi="Calibri"/>
                <w:color w:val="1E293B"/>
                <w:sz w:val="17"/>
              </w:rPr>
              <w:t xml:space="preserve"> (HRW Report, April 2000, Vol. 12, No. 5(D)), Section: The Bombing of Katyr-Yurt.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hrw.org/reports/2000/russia_chechnya2/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Detailed on-site witness testimonies documenting how the military enticed rebels into the village, announced a false humanitarian corridor, and bombed fleeing civilian minivans.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Memorial Human Rights Center (Moscow)</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Massacre in Katyr-Yurt: Chronicles of an Aerial Execution of a Refugee Corridor</w:t>
            </w:r>
            <w:r>
              <w:rPr>
                <w:rFonts w:ascii="Calibri" w:hAnsi="Calibri"/>
                <w:color w:val="1E293B"/>
                <w:sz w:val="17"/>
              </w:rPr>
              <w:t xml:space="preserve"> (Special Report, Moscow, 2001).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memohrc.org/ru/reports/katyr-yurt-2001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demographic census documenting 150+ civilian deaths, identifying bomb crater locations, and tracing the deployment of parachute-retarded FAB-500 bombs.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William A. Schabas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European Convention on Human Rights: A Commentary</w:t>
            </w:r>
            <w:r>
              <w:rPr>
                <w:rFonts w:ascii="Calibri" w:hAnsi="Calibri"/>
                <w:color w:val="1E293B"/>
                <w:sz w:val="17"/>
              </w:rPr>
              <w:t xml:space="preserve"> (Oxford University Press, 2015), Commentary on Article 2 (Right to Life in Armed Conflict).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global.oup.com/academic/product/the-european-convention-on-human-rights-9780199594061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Preeminent human rights treatise analyzing </w:t>
            </w:r>
            <w:r>
              <w:rPr>
                <w:rFonts w:ascii="Calibri" w:hAnsi="Calibri"/>
                <w:i/>
                <w:color w:val="1E293B"/>
                <w:sz w:val="17"/>
              </w:rPr>
              <w:t>Isayeva</w:t>
            </w:r>
            <w:r>
              <w:rPr>
                <w:rFonts w:ascii="Calibri" w:hAnsi="Calibri"/>
                <w:color w:val="1E293B"/>
                <w:sz w:val="17"/>
              </w:rPr>
              <w:t xml:space="preserve"> as the global benchmark for evaluating the legality of heavy air-dropped munitions in asymmetric counter-insurgency warfare.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Philip Leach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Chechen Conflict: Analysing the Oversight of the European Court of Human Rights,"</w:t>
            </w:r>
            <w:r>
              <w:rPr>
                <w:rFonts w:ascii="Calibri" w:hAnsi="Calibri"/>
                <w:color w:val="1E293B"/>
                <w:sz w:val="17"/>
              </w:rPr>
              <w:t xml:space="preserve"> 6 </w:t>
            </w:r>
            <w:r>
              <w:rPr>
                <w:rFonts w:ascii="Calibri" w:hAnsi="Calibri"/>
                <w:i/>
                <w:color w:val="1E293B"/>
                <w:sz w:val="17"/>
              </w:rPr>
              <w:t>European Human Rights Law Review</w:t>
            </w:r>
            <w:r>
              <w:rPr>
                <w:rFonts w:ascii="Calibri" w:hAnsi="Calibri"/>
                <w:color w:val="1E293B"/>
                <w:sz w:val="17"/>
              </w:rPr>
              <w:t xml:space="preserve"> 732–755 (2008).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sweetandmaxwell.co.uk/ehrlr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review of ECtHR scrutiny over high-explosive aerial bombardment, command planning failures, and the non-derogability of the procedural obligation to investigate.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Francoise J. Hampson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"Direct Participation in Hostilities and the Right to Life: The ECtHR Chechnya Jurisprudence,"</w:t>
            </w:r>
            <w:r>
              <w:rPr>
                <w:rFonts w:ascii="Calibri" w:hAnsi="Calibri"/>
                <w:color w:val="1E293B"/>
                <w:sz w:val="17"/>
              </w:rPr>
              <w:t xml:space="preserve"> in </w:t>
            </w:r>
            <w:r>
              <w:rPr>
                <w:rFonts w:ascii="Calibri" w:hAnsi="Calibri"/>
                <w:i/>
                <w:color w:val="1E293B"/>
                <w:sz w:val="17"/>
              </w:rPr>
              <w:t>International Law and the Use of Force</w:t>
            </w:r>
            <w:r>
              <w:rPr>
                <w:rFonts w:ascii="Calibri" w:hAnsi="Calibri"/>
                <w:color w:val="1E293B"/>
                <w:sz w:val="17"/>
              </w:rPr>
              <w:t xml:space="preserve"> (2007), pp. 185–214.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essex.ac.uk/law/hampson-chechnya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Synthesizes the convergence between IHL proportionality and ECHR Article 2, demonstrating that the presence of combatants does not grant license to deploy wide-area blast weapons into civilian communities.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Russian Federation: Chechnya – For the Motherland: Reported Grave Breaches of the Geneva Conventions</w:t>
            </w:r>
            <w:r>
              <w:rPr>
                <w:rFonts w:ascii="Calibri" w:hAnsi="Calibri"/>
                <w:color w:val="1E293B"/>
                <w:sz w:val="17"/>
              </w:rPr>
              <w:t xml:space="preserve"> (AI Index: EUR 46/046/2000, May 2000).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amnesty.org/en/documents/eur46/046/2000/en/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Comprehensive documentation of indiscriminate aerial attacks on civilian settlements, establishing violations of Common Article 3 and Customary IHL Rules 1, 7, and 14.</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Russian Military Expert Commission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Judicial Ballistics &amp; Military Expert Assessment of Operation Volk in Katyr-Yurt</w:t>
            </w:r>
            <w:r>
              <w:rPr>
                <w:rFonts w:ascii="Calibri" w:hAnsi="Calibri"/>
                <w:color w:val="1E293B"/>
                <w:sz w:val="17"/>
              </w:rPr>
              <w:t xml:space="preserve"> (Annexed to HUDOC 001-68381, ¶¶ 102–110).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hudoc.echr.coe.int/eng?i=001-68381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expert opinion admitting that FAB-250 and FAB-500 bombs have a lethal fragmentation radius exceeding 300 meters and that their use within a village is mathematically certain to cause severe civilian casualties.</w:t>
            </w:r>
          </w:p>
        </w:tc>
      </w:tr>
    </w:tbl>
    <w:p>
      <w:pPr>
        <w:spacing w:after="120"/>
      </w:pPr>
    </w:p>
    <w:p>
      <w:pPr>
        <w:spacing w:before="200" w:after="60"/>
      </w:pPr>
      <w:r>
        <w:rPr>
          <w:rFonts w:ascii="Calibri" w:hAnsi="Calibri"/>
          <w:b/>
          <w:color w:val="334155"/>
          <w:sz w:val="22"/>
        </w:rPr>
        <w:t>Chart 3.2: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Weapons Disproportionality *Per Se* in Enclosed Sanctuaries:</w:t>
            </w:r>
            <w:r>
              <w:rPr>
                <w:rFonts w:ascii="Calibri" w:hAnsi="Calibri"/>
                <w:color w:val="1E293B"/>
                <w:sz w:val="17"/>
              </w:rPr>
              <w:t xml:space="preserve"> Deploying heavy blast weapons (FAB-500 / 1,000-lb WDU-36/B) within 42m of civilians makes mass death mathematically certain.</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 v. Russia</w:t>
            </w:r>
            <w:r>
              <w:rPr>
                <w:rFonts w:ascii="Calibri" w:hAnsi="Calibri"/>
                <w:color w:val="1E293B"/>
                <w:sz w:val="17"/>
              </w:rPr>
              <w:t xml:space="preserve"> ¶¶ 191, 195; </w:t>
            </w:r>
            <w:r>
              <w:rPr>
                <w:rFonts w:ascii="Calibri" w:hAnsi="Calibri"/>
                <w:i/>
                <w:color w:val="1E293B"/>
                <w:sz w:val="17"/>
              </w:rPr>
              <w:t>Abakarova</w:t>
            </w:r>
            <w:r>
              <w:rPr>
                <w:rFonts w:ascii="Calibri" w:hAnsi="Calibri"/>
                <w:color w:val="1E293B"/>
                <w:sz w:val="17"/>
              </w:rPr>
              <w:t xml:space="preserve"> ¶¶ 88–92; CIHL Rule 14.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applies the core ratio decidendi of the European Court of Human Rights in Isayeva v. Russia: the deployment of heavy high-explosive aerial ordnance with massive lethal blast radii (in Isayeva, FAB-500s; in Minab, three 1,000-lb WDU-36/B Tomahawk warheads with a combined 3,000-lb yield) inside a densely populated civilian compound populated by children is manifestly disproportionate and unlawful per se under customary international law."</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Operational Planning and Control Standard:</w:t>
            </w:r>
            <w:r>
              <w:rPr>
                <w:rFonts w:ascii="Calibri" w:hAnsi="Calibri"/>
                <w:color w:val="1E293B"/>
                <w:sz w:val="17"/>
              </w:rPr>
              <w:t xml:space="preserve"> State liability turns on whether authorities planned and controlled the operation so as to minimize risk to life.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w:t>
            </w:r>
            <w:r>
              <w:rPr>
                <w:rFonts w:ascii="Calibri" w:hAnsi="Calibri"/>
                <w:color w:val="1E293B"/>
                <w:sz w:val="17"/>
              </w:rPr>
              <w:t xml:space="preserve"> ¶¶ 171–175; </w:t>
            </w:r>
            <w:r>
              <w:rPr>
                <w:rFonts w:ascii="Calibri" w:hAnsi="Calibri"/>
                <w:i/>
                <w:color w:val="1E293B"/>
                <w:sz w:val="17"/>
              </w:rPr>
              <w:t>McCann and Others v. UK</w:t>
            </w:r>
            <w:r>
              <w:rPr>
                <w:rFonts w:ascii="Calibri" w:hAnsi="Calibri"/>
                <w:color w:val="1E293B"/>
                <w:sz w:val="17"/>
              </w:rPr>
              <w:t xml:space="preserve"> [GC] (1995); </w:t>
            </w:r>
            <w:r>
              <w:rPr>
                <w:rFonts w:ascii="Calibri" w:hAnsi="Calibri"/>
                <w:i/>
                <w:color w:val="1E293B"/>
                <w:sz w:val="17"/>
              </w:rPr>
              <w:t>Ergi v. Russia</w:t>
            </w:r>
            <w:r>
              <w:rPr>
                <w:rFonts w:ascii="Calibri" w:hAnsi="Calibri"/>
                <w:color w:val="1E293B"/>
                <w:sz w:val="17"/>
              </w:rPr>
              <w:t xml:space="preserve"> (1998).</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VIII, § 8.2 (¶ 89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"As formulated in McCann and affirmed in Isayeva, the primary breach of international law occurs not merely at the moment of weapon impact, but throughout the upstream planning and control of the operation. CENTCOM’s decision to schedule a 3-missile salvo into an urban municipality at 09:22 AM on a school day reveals an absolute failure of operational control directly engaging the international responsibility of the United States."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Illusory "Safe Zone" / Evacuation Ambush:</w:t>
            </w:r>
            <w:r>
              <w:rPr>
                <w:rFonts w:ascii="Calibri" w:hAnsi="Calibri"/>
                <w:color w:val="1E293B"/>
                <w:sz w:val="17"/>
              </w:rPr>
              <w:t xml:space="preserve"> Striking civilians fleeing an initial blast or moving through designated civilian spaces.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w:t>
            </w:r>
            <w:r>
              <w:rPr>
                <w:rFonts w:ascii="Calibri" w:hAnsi="Calibri"/>
                <w:color w:val="1E293B"/>
                <w:sz w:val="17"/>
              </w:rPr>
              <w:t xml:space="preserve"> ¶¶ 185–188; HRW </w:t>
            </w:r>
            <w:r>
              <w:rPr>
                <w:rFonts w:ascii="Calibri" w:hAnsi="Calibri"/>
                <w:i/>
                <w:color w:val="1E293B"/>
                <w:sz w:val="17"/>
              </w:rPr>
              <w:t>No Happiness Remains</w:t>
            </w:r>
            <w:r>
              <w:rPr>
                <w:rFonts w:ascii="Calibri" w:hAnsi="Calibri"/>
                <w:color w:val="1E293B"/>
                <w:sz w:val="17"/>
              </w:rPr>
              <w:t>; AP I Art. 51(4).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VII, § 7.1 (¶ 79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the Russian military in Katyr-Yurt bombed the civilian evacuation column along Ordzhonikidze Street after an illusory corridor was declared, CENTCOM’s second and third Tomahawk missiles struck the western stairwell and the open schoolyard assembly area as panicked schoolgirls fled the initial roof strike, converting an evacuation route into a lethal blast funnel."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Domestic Investigative Concealment Engaging State Responsibility:</w:t>
            </w:r>
            <w:r>
              <w:rPr>
                <w:rFonts w:ascii="Calibri" w:hAnsi="Calibri"/>
                <w:color w:val="1E293B"/>
                <w:sz w:val="17"/>
              </w:rPr>
              <w:t xml:space="preserve"> Refusal to disclose flight logs, target dossiers, and dismissing inquiries without victim participation.</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Abakarova</w:t>
            </w:r>
            <w:r>
              <w:rPr>
                <w:rFonts w:ascii="Calibri" w:hAnsi="Calibri"/>
                <w:color w:val="1E293B"/>
                <w:sz w:val="17"/>
              </w:rPr>
              <w:t xml:space="preserve"> ¶¶ 95–104; ECHR Art. 2 (procedural); ARSIWA Art. 4.</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9.3 (¶ 94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refusal of the United States military to publish the full AR 15-6 investigation records, or to grant legal standing to the bereaved families of Minab, replicates the procedural violations condemned by the European Court in Abakarova, grounding international universal jurisdiction filings before independent national prosecutors."</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06: DORA FARMS DAY 1 DECAPITATION STRIKE (MARCH 19, 2003)</w:t>
      </w:r>
    </w:p>
    <w:p>
      <w:pPr>
        <w:spacing w:before="200" w:after="60"/>
      </w:pPr>
      <w:r>
        <w:rPr>
          <w:rFonts w:ascii="Calibri" w:hAnsi="Calibri"/>
          <w:b/>
          <w:color w:val="334155"/>
          <w:sz w:val="22"/>
        </w:rPr>
        <w:t>Chart 6.1: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Off Target: The Conduct of the War and Civilian Casualties in Iraq</w:t>
            </w:r>
            <w:r>
              <w:rPr>
                <w:rFonts w:ascii="Calibri" w:hAnsi="Calibri"/>
                <w:color w:val="1E293B"/>
                <w:sz w:val="17"/>
              </w:rPr>
              <w:t xml:space="preserve"> (HRW Comprehensive Report, Dec 2003), Section III: "Targeting Leadership: The Decapitation Strikes" (pp. 16–25).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hrw.org/reports/2003/usa1203/3.htm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The definitive field investigation into the opening salvo of Operation Iraqi Freedom: proves that all 50 US decapitation strikes targeting Iraqi leadership failed, causing mass civilian deaths on single-source unverified HUMINT.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U.S. Joint Forces Command (USJFCOM)</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Iraqi Freedom Joint Lessons Learned Report: Time-Sensitive Targeting and Command and Control</w:t>
            </w:r>
            <w:r>
              <w:rPr>
                <w:rFonts w:ascii="Calibri" w:hAnsi="Calibri"/>
                <w:color w:val="1E293B"/>
                <w:sz w:val="17"/>
              </w:rPr>
              <w:t xml:space="preserve"> (Suffolk, VA, 2004, declassified sections).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dtic.mil/docs/citations/ADA428987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Internal military analysis admitting that the rush to execute leadership strikes bypassed standard multi-source validation, relying on single-node reporting and producing zero targeted leadership casualties.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Bob Woodward</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Plan of Attack</w:t>
            </w:r>
            <w:r>
              <w:rPr>
                <w:rFonts w:ascii="Calibri" w:hAnsi="Calibri"/>
                <w:color w:val="1E293B"/>
                <w:sz w:val="17"/>
              </w:rPr>
              <w:t xml:space="preserve"> (Simon &amp; Schuster, New York, 2004), Chapters 21–24 (pp. 370–405).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simonandschuster.com/books/Plan-of-Attack</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Meticulous journalistic reconstruction of the Oval Office decision on March 19, 2003, detailing how CIA DCI Tenet presented single-source human intelligence to President Bush, authorizing 4x 2,000-lb GBU-27s and 40 Tomahawks.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and Humanitarian Law: Current Issues,"</w:t>
            </w:r>
            <w:r>
              <w:rPr>
                <w:rFonts w:ascii="Calibri" w:hAnsi="Calibri"/>
                <w:color w:val="1E293B"/>
                <w:sz w:val="17"/>
              </w:rPr>
              <w:t xml:space="preserve"> in </w:t>
            </w:r>
            <w:r>
              <w:rPr>
                <w:rFonts w:ascii="Calibri" w:hAnsi="Calibri"/>
                <w:i/>
                <w:color w:val="1E293B"/>
                <w:sz w:val="17"/>
              </w:rPr>
              <w:t>International Law Studies</w:t>
            </w:r>
            <w:r>
              <w:rPr>
                <w:rFonts w:ascii="Calibri" w:hAnsi="Calibri"/>
                <w:color w:val="1E293B"/>
                <w:sz w:val="17"/>
              </w:rPr>
              <w:t xml:space="preserve"> (US Naval War College, Vol. 78, 2002/2003), pp. 59–104.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digital-commons.usnwc.edu/ils/vol78/iss1/15/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Examines the legal threshold of positive target identification (PID) in time-sensitive targeting (TST) and the limits of the "reasonable commander" standard when intelligence is uncorroborated.</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Iraq: In Cold Blood – The Civilian Casualties of Operation Iraqi Freedom</w:t>
            </w:r>
            <w:r>
              <w:rPr>
                <w:rFonts w:ascii="Calibri" w:hAnsi="Calibri"/>
                <w:color w:val="1E293B"/>
                <w:sz w:val="17"/>
              </w:rPr>
              <w:t xml:space="preserve"> (AI Index: MDE 14/009/2003, Nov 2003).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amnesty.org/en/documents/mde14/009/2003/en/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Ground-level forensic documentation of civilian casualties in Dora Farms, establishing that the strike obliterated ordinary civilian residential dwellings and civilian tenant farmers.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David Turns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Conduct of Hostilities: Target Selection and Proportionality in 2003 Iraq Conflict,"</w:t>
            </w:r>
            <w:r>
              <w:rPr>
                <w:rFonts w:ascii="Calibri" w:hAnsi="Calibri"/>
                <w:color w:val="1E293B"/>
                <w:sz w:val="17"/>
              </w:rPr>
              <w:t xml:space="preserve"> 11 </w:t>
            </w:r>
            <w:r>
              <w:rPr>
                <w:rFonts w:ascii="Calibri" w:hAnsi="Calibri"/>
                <w:i/>
                <w:color w:val="1E293B"/>
                <w:sz w:val="17"/>
              </w:rPr>
              <w:t>Journal of Conflict and Security Law</w:t>
            </w:r>
            <w:r>
              <w:rPr>
                <w:rFonts w:ascii="Calibri" w:hAnsi="Calibri"/>
                <w:color w:val="1E293B"/>
                <w:sz w:val="17"/>
              </w:rPr>
              <w:t xml:space="preserve"> 247–274 (2006).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doi.org/10.1093/jcsl/krl008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Rigorous doctrinal examination of target selection during the opening hours of an international armed conflict under AP I Arts. 48, 51, and 57.</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Yoram Dinstein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Conduct of Hostilities under the Law of International Armed Conflict</w:t>
            </w:r>
            <w:r>
              <w:rPr>
                <w:rFonts w:ascii="Calibri" w:hAnsi="Calibri"/>
                <w:color w:val="1E293B"/>
                <w:sz w:val="17"/>
              </w:rPr>
              <w:t xml:space="preserve"> (Cambridge University Press, 2nd ed. 2010), Chapter 4: "Lawful Military Objectives".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cambridge.org/core/books/conduct-of-hostilities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Preeminent IHL treatise analyzing the Dora Farms decapitation strike as state practice regarding the illegality of kinetic engagement based on speculative intelligence without visual confirmation.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U.S. Defense Intelligence Agency (DIA)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Post-Strike Battle Damage Assessment (BDA) on Dora Farms Agricultural Compound</w:t>
            </w:r>
            <w:r>
              <w:rPr>
                <w:rFonts w:ascii="Calibri" w:hAnsi="Calibri"/>
                <w:color w:val="1E293B"/>
                <w:sz w:val="17"/>
              </w:rPr>
              <w:t xml:space="preserve"> (Declassified Intelligence Memorandum, Washington, D.C., 2004).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nsarchive2.gwu.edu/NSAEBB/NSAEBB144/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DIA confirmation that no military command bunkers, hardened communications shelters, or senior leadership were present at the struck coordinates.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Airwars / Iraq Body Count (IBC)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Dora Farms Opening Salvo Casualty Verification Dossier</w:t>
            </w:r>
            <w:r>
              <w:rPr>
                <w:rFonts w:ascii="Calibri" w:hAnsi="Calibri"/>
                <w:color w:val="1E293B"/>
                <w:sz w:val="17"/>
              </w:rPr>
              <w:t xml:space="preserve"> (Incident Record IBC-k001, London, 2003/2004).</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iraqbodycount.org/database/incidents/k001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demographic record of civilian victims killed and wounded, confirming that the victims were civilian agricultural workers and their families, including 9 women and children.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Matthew Waxman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International Law and the Politics of Urban Air Operations</w:t>
            </w:r>
            <w:r>
              <w:rPr>
                <w:rFonts w:ascii="Calibri" w:hAnsi="Calibri"/>
                <w:color w:val="1E293B"/>
                <w:sz w:val="17"/>
              </w:rPr>
              <w:t xml:space="preserve"> (RAND Corporation, Project Air Force, 2000/2003).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rand.org/pubs/monograph_reports/MR1175.html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Policy and legal assessment of precision standoff weaponry in urban outskirts and the severe diplomatic and legal backlash resulting from intelligence failures during opening hostilities.</w:t>
            </w:r>
          </w:p>
        </w:tc>
      </w:tr>
    </w:tbl>
    <w:p>
      <w:pPr>
        <w:spacing w:after="120"/>
      </w:pPr>
    </w:p>
    <w:p>
      <w:pPr>
        <w:spacing w:before="200" w:after="60"/>
      </w:pPr>
      <w:r>
        <w:rPr>
          <w:rFonts w:ascii="Calibri" w:hAnsi="Calibri"/>
          <w:b/>
          <w:color w:val="334155"/>
          <w:sz w:val="22"/>
        </w:rPr>
        <w:t>Chart 6.2: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"Day 1 / Opening Salvo" Pre-War Target Flaw:</w:t>
            </w:r>
            <w:r>
              <w:rPr>
                <w:rFonts w:ascii="Calibri" w:hAnsi="Calibri"/>
                <w:color w:val="1E293B"/>
                <w:sz w:val="17"/>
              </w:rPr>
              <w:t xml:space="preserve"> Deliberate peacetime targets planned before hostilities cannot be shielded by claims of combat urgency.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Off Target</w:t>
            </w:r>
            <w:r>
              <w:rPr>
                <w:rFonts w:ascii="Calibri" w:hAnsi="Calibri"/>
                <w:color w:val="1E293B"/>
                <w:sz w:val="17"/>
              </w:rPr>
              <w:t xml:space="preserve"> Ch. III; Dinstein (2010); AP I Art. 57(2)(a).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6.1 (¶ 61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observes that Dora Farms establishes the definitive legal precedent governing opening-salvo decapitation strikes. When a belligerent executes pre-compiled target lists within the first hours of an armed conflict, the military cannot plead active-combat urgency. The planning command had years of peacetime surveillance to confirm whether the Shajareh Tayyebeh compound was an active elementary school."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Massive Ordnance Saturation on Speculative Coordinates:</w:t>
            </w:r>
            <w:r>
              <w:rPr>
                <w:rFonts w:ascii="Calibri" w:hAnsi="Calibri"/>
                <w:color w:val="1E293B"/>
                <w:sz w:val="17"/>
              </w:rPr>
              <w:t xml:space="preserve"> Launching heavy penetrating bombs and cruise missile salvos based on unverified coordinates.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USJFCOM Lessons Learned; Turns (2006); CIHL Rule 15.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 § 5.3 (¶ 54 bis) &amp; Chapter VII, § 7.3 (¶ 83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Dora Farms, the US military launched 4x 2,000-lb bombs and 40 Tomahawk missiles at an agricultural site without verifying physical bunker presence. In Minab, CENTCOM allocated three 1,000-lb Tomahawk missiles against a 4,250 sq. m parcel based on an unverified 2016 intelligence tag, demonstrating systemic negligence in force allocation."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Inherent Failure Rate of Uncorroborated HUMINT/AI Nominations:</w:t>
            </w:r>
            <w:r>
              <w:rPr>
                <w:rFonts w:ascii="Calibri" w:hAnsi="Calibri"/>
                <w:color w:val="1E293B"/>
                <w:sz w:val="17"/>
              </w:rPr>
              <w:t xml:space="preserve"> Proving that unverified single-source nominations produce a 100% targeting failure rate.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Off Target</w:t>
            </w:r>
            <w:r>
              <w:rPr>
                <w:rFonts w:ascii="Calibri" w:hAnsi="Calibri"/>
                <w:color w:val="1E293B"/>
                <w:sz w:val="17"/>
              </w:rPr>
              <w:t xml:space="preserve"> (50 of 50 failed strikes); Woodward (2004).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6.5 (¶ 76 quater)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"As empirically demonstrated by Human Rights Watch regarding the 2003 decapitation strikes (where 50 out of 50 strikes failed to hit targeted leadership while killing dozens of civilians), relying upon uncorroborated single-source target tags without contemporary ground verification is inherently catastrophic. Replacing single-source HUMINT with single-source Palantir-Maven AI algorithms in 2026 merely automated and accelerated this identical failure mode."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Complete Physical Absence of Military Assets Confirmed by Post-Strike BDA: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DIA Post-Strike BDA; IBC Record k001; AP I Art. 52(3).</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4.5 (¶ 49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"Post-strike forensic inspections in Dora Farms revealed farm equipment and domestic dwellings; in Minab, the debris comprised torn Persian language textbooks, primary school desks, children's backpacks, and playground swings. Under AP I Art. 52(3), the physical debris provides irrebuttable proof of the exclusively civilian character of the object."</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07: DASHT-E ARCHI MADRASSA GRADUATION AIRSTRIKE (APRIL 2, 2018)</w:t>
      </w:r>
    </w:p>
    <w:p>
      <w:pPr>
        <w:spacing w:before="200" w:after="60"/>
      </w:pPr>
      <w:r>
        <w:rPr>
          <w:rFonts w:ascii="Calibri" w:hAnsi="Calibri"/>
          <w:b/>
          <w:color w:val="334155"/>
          <w:sz w:val="22"/>
        </w:rPr>
        <w:t>Chart 7.1: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UNAMA &amp; UN OHCHR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Special Report: Airstrikes in Dasht-e-Archi District, Kunduz Province, 2 April 2018</w:t>
            </w:r>
            <w:r>
              <w:rPr>
                <w:rFonts w:ascii="Calibri" w:hAnsi="Calibri"/>
                <w:color w:val="1E293B"/>
                <w:sz w:val="17"/>
              </w:rPr>
              <w:t xml:space="preserve"> (Kabul, May 2018, 22 pp.).</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unama.unmissions.org/dasht-e-archi-special-report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UN fact-finding investigation into the Akhundzada Madrassa strike; verified 36 killed (including 30 children) and 71 wounded (51 children); established that 81% of casualties were school-aged children.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Human Rights Council (UN HRC)</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of the United Nations High Commissioner for Human Rights on Afghanistan</w:t>
            </w:r>
            <w:r>
              <w:rPr>
                <w:rFonts w:ascii="Calibri" w:hAnsi="Calibri"/>
                <w:color w:val="1E293B"/>
                <w:sz w:val="17"/>
              </w:rPr>
              <w:t xml:space="preserve"> (UN Doc. A/HRC/40/41, Jan 2019), ¶¶ 22–27.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undocs.org/A/HRC/40/41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Evaluates the Dasht-e Archi strike under Customary IHL Rules 1, 7, 14, and 15; concludes that attacking an open-air religious assembly violated the principle of precautions and proportionality.</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Afghanistan: Airstrike Hits Religious Ceremony: High Civilian Toll in Kunduz Madrassa Attack</w:t>
            </w:r>
            <w:r>
              <w:rPr>
                <w:rFonts w:ascii="Calibri" w:hAnsi="Calibri"/>
                <w:color w:val="1E293B"/>
                <w:sz w:val="17"/>
              </w:rPr>
              <w:t xml:space="preserve"> (HRW Report, 4 April 2018).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hrw.org/news/2018/04/04/afghanistan-airstrike-hits-religious-ceremony</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Field documentation establishing that the gathering was a publicly scheduled religious graduation ceremony (</w:t>
            </w:r>
            <w:r>
              <w:rPr>
                <w:rFonts w:ascii="Calibri" w:hAnsi="Calibri"/>
                <w:i/>
                <w:color w:val="1E293B"/>
                <w:sz w:val="17"/>
              </w:rPr>
              <w:t>Dastar Bandi</w:t>
            </w:r>
            <w:r>
              <w:rPr>
                <w:rFonts w:ascii="Calibri" w:hAnsi="Calibri"/>
                <w:color w:val="1E293B"/>
                <w:sz w:val="17"/>
              </w:rPr>
              <w:t>) announced weeks in advance, attended by over 1,000 civilians.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Adil Ahmad Haque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Gatherings and the Laws of War: The Dasht-e Archi Strike,"</w:t>
            </w:r>
            <w:r>
              <w:rPr>
                <w:rFonts w:ascii="Calibri" w:hAnsi="Calibri"/>
                <w:color w:val="1E293B"/>
                <w:sz w:val="17"/>
              </w:rPr>
              <w:t xml:space="preserve"> </w:t>
            </w:r>
            <w:r>
              <w:rPr>
                <w:rFonts w:ascii="Calibri" w:hAnsi="Calibri"/>
                <w:i/>
                <w:color w:val="1E293B"/>
                <w:sz w:val="17"/>
              </w:rPr>
              <w:t>Just Security</w:t>
            </w:r>
            <w:r>
              <w:rPr>
                <w:rFonts w:ascii="Calibri" w:hAnsi="Calibri"/>
                <w:color w:val="1E293B"/>
                <w:sz w:val="17"/>
              </w:rPr>
              <w:t xml:space="preserve"> (May 2018).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justsecurity.org/dasht-e-archi-targeting-gatherings/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Landmark doctrinal analysis of AP I Arts. 51(5)(b) and 57; demonstrates that even if armed elements were present on the periphery, the presence of hundreds of children rendered the attack disproportionate </w:t>
            </w:r>
            <w:r>
              <w:rPr>
                <w:rFonts w:ascii="Calibri" w:hAnsi="Calibri"/>
                <w:i/>
                <w:color w:val="1E293B"/>
                <w:sz w:val="17"/>
              </w:rPr>
              <w:t>per se</w:t>
            </w:r>
            <w:r>
              <w:rPr>
                <w:rFonts w:ascii="Calibri" w:hAnsi="Calibri"/>
                <w:color w:val="1E293B"/>
                <w:sz w:val="17"/>
              </w:rPr>
              <w:t>.</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Bellingcat Investigation Team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Open Source Verification of the Dasht-e-Archi Madrassa Airstrike</w:t>
            </w:r>
            <w:r>
              <w:rPr>
                <w:rFonts w:ascii="Calibri" w:hAnsi="Calibri"/>
                <w:color w:val="1E293B"/>
                <w:sz w:val="17"/>
              </w:rPr>
              <w:t xml:space="preserve"> (Bellingcat Visual Forensics, April 2018).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bellingcat.com/news/mena/dasht-e-archi-verification/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Visual forensics analyzing open-source mobile phone footage, confirming mass child casualties, rocket entry trajectories, and the presence of ceremonial graduation canopies.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Afghanistan: Independent Investigation Crucial into Kunduz Madrassa Strike</w:t>
            </w:r>
            <w:r>
              <w:rPr>
                <w:rFonts w:ascii="Calibri" w:hAnsi="Calibri"/>
                <w:color w:val="1E293B"/>
                <w:sz w:val="17"/>
              </w:rPr>
              <w:t xml:space="preserve"> (AI Statement, 4 April 2018).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amnesty.org/en/latest/news/2018/04/afghanistan-kunduz-madrassa/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Calls for criminal accountability and independent international fact-finding; details how Afghan military helicopters fired unguided rockets directly into the center of the seated gathering.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Afghan Ministry of Defense (MoD) Investigation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Official Findings on the Akhundzada Madrassa Strike</w:t>
            </w:r>
            <w:r>
              <w:rPr>
                <w:rFonts w:ascii="Calibri" w:hAnsi="Calibri"/>
                <w:color w:val="1E293B"/>
                <w:sz w:val="17"/>
              </w:rPr>
              <w:t xml:space="preserve"> (Kabul, April 2018).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mod.gov.af/investigations/kunduz-2018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state admission acknowledging civilian and child casualties, attempting to justify the strike by claiming senior Taliban figures were present while conceding targeting verification errors.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Save the Children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Stop the War on Children: Protecting Children in Armed Conflict</w:t>
            </w:r>
            <w:r>
              <w:rPr>
                <w:rFonts w:ascii="Calibri" w:hAnsi="Calibri"/>
                <w:color w:val="1E293B"/>
                <w:sz w:val="17"/>
              </w:rPr>
              <w:t xml:space="preserve"> (London, 2019), Case Profile: Kunduz Madrassa Strike.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savethechildren.net/stop-war-on-children-2019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Comprehensive international child protection study highlighting the devastating long-term developmental, physical, and psychological impact of explosive weapons on educational assemblies.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Statement on Hospital Admissions Following the Kunduz Madrassa Strike</w:t>
            </w:r>
            <w:r>
              <w:rPr>
                <w:rFonts w:ascii="Calibri" w:hAnsi="Calibri"/>
                <w:color w:val="1E293B"/>
                <w:sz w:val="17"/>
              </w:rPr>
              <w:t xml:space="preserve"> (Geneva/Kabul, 3 April 2018).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icrc.org/en/document/afghanistan-kunduz-madrassa-casualties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First-responder medical documentation from Kunduz Regional Hospital, recording the high proportion of catastrophic pediatric fragmentation trauma and third-degree blast injuries.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Airwars Conflict Monitoring Registry</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Casualty Incident Record CIV18-APR-02-KUNDUZ</w:t>
            </w:r>
            <w:r>
              <w:rPr>
                <w:rFonts w:ascii="Calibri" w:hAnsi="Calibri"/>
                <w:color w:val="1E293B"/>
                <w:sz w:val="17"/>
              </w:rPr>
              <w:t xml:space="preserve"> (Airwars Archive, 2018).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airwars.org/civilian-casualties/civ18-apr-02-kunduz/</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Comprehensive casualty cross-matching corroborating the identities, ages, and family relationships of the 36 deceased and 71 wounded children.</w:t>
            </w:r>
          </w:p>
        </w:tc>
      </w:tr>
    </w:tbl>
    <w:p>
      <w:pPr>
        <w:spacing w:after="120"/>
      </w:pPr>
    </w:p>
    <w:p>
      <w:pPr>
        <w:spacing w:before="200" w:after="60"/>
      </w:pPr>
      <w:r>
        <w:rPr>
          <w:rFonts w:ascii="Calibri" w:hAnsi="Calibri"/>
          <w:b/>
          <w:color w:val="334155"/>
          <w:sz w:val="22"/>
        </w:rPr>
        <w:t>Chart 7.2: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"Gathering of Children" Rule in Proportionality:</w:t>
            </w:r>
            <w:r>
              <w:rPr>
                <w:rFonts w:ascii="Calibri" w:hAnsi="Calibri"/>
                <w:color w:val="1E293B"/>
                <w:sz w:val="17"/>
              </w:rPr>
              <w:t xml:space="preserve"> High child density in open-air educational gatherings precludes kinetic strikes as disproportionate </w:t>
            </w:r>
            <w:r>
              <w:rPr>
                <w:rFonts w:ascii="Calibri" w:hAnsi="Calibri"/>
                <w:i/>
                <w:color w:val="1E293B"/>
                <w:sz w:val="17"/>
              </w:rPr>
              <w:t>per se</w:t>
            </w:r>
            <w:r>
              <w:rPr>
                <w:rFonts w:ascii="Calibri" w:hAnsi="Calibri"/>
                <w:color w:val="1E293B"/>
                <w:sz w:val="17"/>
              </w:rPr>
              <w: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UNAMA Special Report (2018); Haque (</w:t>
            </w:r>
            <w:r>
              <w:rPr>
                <w:rFonts w:ascii="Calibri" w:hAnsi="Calibri"/>
                <w:i/>
                <w:color w:val="1E293B"/>
                <w:sz w:val="17"/>
              </w:rPr>
              <w:t>Just Security</w:t>
            </w:r>
            <w:r>
              <w:rPr>
                <w:rFonts w:ascii="Calibri" w:hAnsi="Calibri"/>
                <w:color w:val="1E293B"/>
                <w:sz w:val="17"/>
              </w:rPr>
              <w:t xml:space="preserve"> 2018); CIHL Rule 14.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 bis) &amp; § 7.4 (¶ 84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incorporates the legal doctrine articulated by UNAMA and Professor Haque in Dasht-e Archi: where an attacking force has the capacity to observe that the vast majority of a gathering consists of children attending an educational or religious assembly, the deployment of explosive weapons is disproportionate per se under AP I Art. 51(5)(b), regardless of any purported military presence on the outer periphery."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Pediatric Casualty Dominance as Evidence of Recklessness:</w:t>
            </w:r>
            <w:r>
              <w:rPr>
                <w:rFonts w:ascii="Calibri" w:hAnsi="Calibri"/>
                <w:color w:val="1E293B"/>
                <w:sz w:val="17"/>
              </w:rPr>
              <w:t xml:space="preserve"> When child victims comprise over 80% of confirmed casualties, the presumption of civilian status was ignored.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UNAMA Report (81% children); Save the Children (2019); UN CRC Art. 38.</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4.6 (¶ 50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Dasht-e Archi, 81% of victims were schoolboys; in Minab, 100% of the 156 martyred victims were primary schoolgirls and female teachers. This catastrophic demographic asymmetry provides conclusive empirical evidence that the attacking command acted with gross recklessness (dolus eventualis) regarding the presence of protected children."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Public Scheduling of Educational Gatherings:</w:t>
            </w:r>
            <w:r>
              <w:rPr>
                <w:rFonts w:ascii="Calibri" w:hAnsi="Calibri"/>
                <w:color w:val="1E293B"/>
                <w:sz w:val="17"/>
              </w:rPr>
              <w:t xml:space="preserve"> Failure to observe known academic calendar cycles.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HRW Kunduz Dispatch; UN HRC Doc. A/HRC/40/41; CIHL Rule 15.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4.3 (¶ 46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the Afghan military ignored the widely publicized turban-tying graduation schedule in Kunduz, CENTCOM launched its Tomahawk salvo at 09:22 AM on Saturday—the universal opening instructional hour of the Iranian school week. Basic open-source calendar verification would have established active child attendance."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Special Protections Under International Law for Children's Sanctuaries: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CRC Arts. 6, 28, 38; Safe Schools Declaration (2015); UNSC Res 2601 (2021).</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7.4 (¶ 84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UN Security Council Resolution 2601 (2021) and the Safe Schools Declaration, educational facilities enjoy specialized customary protection. Firing high-yield precision munitions into an elementary school during class hours constitutes an aggravated violation of international humanitarian law."</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09: SHELLING OF THE UNIFIL COMPOUND AT QANA (APRIL 18, 1996)</w:t>
      </w:r>
    </w:p>
    <w:p>
      <w:pPr>
        <w:spacing w:before="200" w:after="60"/>
      </w:pPr>
      <w:r>
        <w:rPr>
          <w:rFonts w:ascii="Calibri" w:hAnsi="Calibri"/>
          <w:b/>
          <w:color w:val="334155"/>
          <w:sz w:val="22"/>
        </w:rPr>
        <w:t>Chart 9.1: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United Nations Secretary-General / Maj. Gen. Franklin van Kappen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of the Secretary-General on the Shelling of the UNIFIL Compound at Qana on 18 April 1996</w:t>
            </w:r>
            <w:r>
              <w:rPr>
                <w:rFonts w:ascii="Calibri" w:hAnsi="Calibri"/>
                <w:color w:val="1E293B"/>
                <w:sz w:val="17"/>
              </w:rPr>
              <w:t xml:space="preserve"> (UN Doc. S/1996/337, 7 May 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undocs.org/S/1996/337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The canonical UN ballistic and forensic investigation; proved that Israeli artillery walked 36 shells across the marked UN compound, rejecting claims of mapping errors and ballistic drift; proved presence of an Israeli UAV overhead.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General Assembly Resolution 51/233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Financing of the United Nations Interim Force in Lebanon: Financial Liability for Qana Damages</w:t>
            </w:r>
            <w:r>
              <w:rPr>
                <w:rFonts w:ascii="Calibri" w:hAnsi="Calibri"/>
                <w:color w:val="1E293B"/>
                <w:sz w:val="17"/>
              </w:rPr>
              <w:t xml:space="preserve"> (UN Doc. A/RES/51/233, 25 April 1997).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undocs.org/A/RES/51/233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UNGA resolution formally deciding that Israel is legally liable for \$1.7 million in physical damage inflicted on the UN compound, affirming state financial responsibility under customary international law.</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Israel/Lebanon: Unlawful Killings During Operation “Grapes of Wrath”</w:t>
            </w:r>
            <w:r>
              <w:rPr>
                <w:rFonts w:ascii="Calibri" w:hAnsi="Calibri"/>
                <w:color w:val="1E293B"/>
                <w:sz w:val="17"/>
              </w:rPr>
              <w:t xml:space="preserve"> (AI Index: MDE 15/042/1996, July 1996), Chapter: The Qana Shelling.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amnesty.org/en/documents/mde15/042/1996/en/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field inquiry into the shelling; demonstrated that Israeli forces possessed full knowledge that 800 civilians were sheltering inside the UN base and that firing proximity airburst shells into the base was indiscriminate.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Operation Grapes of Wrath: The Civilian Victims</w:t>
            </w:r>
            <w:r>
              <w:rPr>
                <w:rFonts w:ascii="Calibri" w:hAnsi="Calibri"/>
                <w:color w:val="1E293B"/>
                <w:sz w:val="17"/>
              </w:rPr>
              <w:t xml:space="preserve"> (HRW Report, Sept 1997, Vol. 9, No. 8(E)), Chapter V: "The Attack on the UN Compound at Qana".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hrw.org/reports/1997/lebanon/Lebanon-05.htm</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Detailed witness interviews, medical reports, and artillery impact analysis; proved that the IDF battery mixed proximity (VT) fuzes with point-detonating fuzes to maximize human lethality against unarmored refugees.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IDF General Staff Investigation / Maj. Gen. Dan Shomron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Summary of the Israeli Military Inquiry into the Artillery Firing at Qana</w:t>
            </w:r>
            <w:r>
              <w:rPr>
                <w:rFonts w:ascii="Calibri" w:hAnsi="Calibri"/>
                <w:color w:val="1E293B"/>
                <w:sz w:val="17"/>
              </w:rPr>
              <w:t xml:space="preserve"> (Tel Aviv, May 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mfa.gov.il/mfa/qana-inquiry-1996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defense claiming shells fell into the compound due to an incorrect target coordinate entry and faulty meteorological data, while conceding that shells impacted inside the UN base.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Richard Falk</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Beirut Shelling and the Qana Massacre: Legal and Moral Reflections on Operation Grapes of Wrath,"</w:t>
            </w:r>
            <w:r>
              <w:rPr>
                <w:rFonts w:ascii="Calibri" w:hAnsi="Calibri"/>
                <w:color w:val="1E293B"/>
                <w:sz w:val="17"/>
              </w:rPr>
              <w:t xml:space="preserve"> 25 </w:t>
            </w:r>
            <w:r>
              <w:rPr>
                <w:rFonts w:ascii="Calibri" w:hAnsi="Calibri"/>
                <w:i/>
                <w:color w:val="1E293B"/>
                <w:sz w:val="17"/>
              </w:rPr>
              <w:t>Journal of Palestine Studies</w:t>
            </w:r>
            <w:r>
              <w:rPr>
                <w:rFonts w:ascii="Calibri" w:hAnsi="Calibri"/>
                <w:color w:val="1E293B"/>
                <w:sz w:val="17"/>
              </w:rPr>
              <w:t xml:space="preserve"> 18–31 (1996).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doi.org/10.2307/2538257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Landmark analysis in international law on state terrorism, the absolute immunity of UN-flagged refugee sanctuaries, and the illegality of counter-battery fire adjacent to protected facilities.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Security Council Resolution 1052 (1996)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Resolution 1052 on the Immediate Cessation of Hostilities in Lebanon</w:t>
            </w:r>
            <w:r>
              <w:rPr>
                <w:rFonts w:ascii="Calibri" w:hAnsi="Calibri"/>
                <w:color w:val="1E293B"/>
                <w:sz w:val="17"/>
              </w:rPr>
              <w:t xml:space="preserve"> (UN Doc. S/RES/1052, 18 April 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undocs.org/S/RES/1052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Security Council resolution adopted on the day of the massacre, demanding immediate respect for the safety of UN personnel and international humanitarian law.</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"Precision Attack and International Humanitarian Law,"</w:t>
            </w:r>
            <w:r>
              <w:rPr>
                <w:rFonts w:ascii="Calibri" w:hAnsi="Calibri"/>
                <w:color w:val="1E293B"/>
                <w:sz w:val="17"/>
              </w:rPr>
              <w:t xml:space="preserve"> 87 </w:t>
            </w:r>
            <w:r>
              <w:rPr>
                <w:rFonts w:ascii="Calibri" w:hAnsi="Calibri"/>
                <w:i/>
                <w:color w:val="1E293B"/>
                <w:sz w:val="17"/>
              </w:rPr>
              <w:t>International Review of the Red Cross</w:t>
            </w:r>
            <w:r>
              <w:rPr>
                <w:rFonts w:ascii="Calibri" w:hAnsi="Calibri"/>
                <w:color w:val="1E293B"/>
                <w:sz w:val="17"/>
              </w:rPr>
              <w:t xml:space="preserve"> 445–466 (2005).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icrc.org/en/doc/assets/files/other/irrc_859_schmitt.pdf</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Uses the Van Kappen Qana ballistic analysis to establish the distinction between genuine technical dispersion and systematic coordinate shifts indicating deliberate targeting.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Press Release on Qana UN Compound Shelling and Violation of Protected Sanctuaries</w:t>
            </w:r>
            <w:r>
              <w:rPr>
                <w:rFonts w:ascii="Calibri" w:hAnsi="Calibri"/>
                <w:color w:val="1E293B"/>
                <w:sz w:val="17"/>
              </w:rPr>
              <w:t xml:space="preserve"> (Geneva, 19 April 1996).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icrc.org/en/document/qana-unifil-compound</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Urgent international humanitarian condemnation reminding belligerents that civilian refuges and UN peacekeepers are absolutely protected objects under the Geneva Conventions.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Robert Fisk (Eyewitness)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Pity the Nation: Lebanon at War</w:t>
            </w:r>
            <w:r>
              <w:rPr>
                <w:rFonts w:ascii="Calibri" w:hAnsi="Calibri"/>
                <w:color w:val="1E293B"/>
                <w:sz w:val="17"/>
              </w:rPr>
              <w:t xml:space="preserve"> (Oxford University Press, 3rd ed. 2001), Chapter 20: "Qana: The Slaughter of Innocents" (pp. 675–702).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global.oup.com/academic/product/pity-the-nation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first-hand testimonial by the first international correspondent on the scene, documenting the immediate physical, pathological, and ballistic evidence of the massacre.</w:t>
            </w:r>
          </w:p>
        </w:tc>
      </w:tr>
    </w:tbl>
    <w:p>
      <w:pPr>
        <w:spacing w:after="120"/>
      </w:pPr>
    </w:p>
    <w:p>
      <w:pPr>
        <w:spacing w:before="200" w:after="60"/>
      </w:pPr>
      <w:r>
        <w:rPr>
          <w:rFonts w:ascii="Calibri" w:hAnsi="Calibri"/>
          <w:b/>
          <w:color w:val="334155"/>
          <w:sz w:val="22"/>
        </w:rPr>
        <w:t>Chart 9.2: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Dismantling the "Ballistic Drift / Mapping Error" Myth via Ballistic Convergence: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Doc. S/1996/337 (Van Kappen Report) ¶¶ 10–14; Schmitt (2005).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 § 5.4 (¶ 56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applies the definitive technical methodology established by General van Kappen in the 1996 Qana investigation. Just as van Kappen’s ballistics team proved that 36 artillery shells fell inside the UN compound due to deliberate coordinate shifts rather than natural dispersion, the zero-drift circular error probable (CEP &lt; 2m) of the three Tomahawk cruise missiles in Minab disproves any claim of mechanical drift, proving that the school was struck exactly where programmed."</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Lethal Mechanics of Proximity Fuzes / Overhead Blast:</w:t>
            </w:r>
            <w:r>
              <w:rPr>
                <w:rFonts w:ascii="Calibri" w:hAnsi="Calibri"/>
                <w:color w:val="1E293B"/>
                <w:sz w:val="17"/>
              </w:rPr>
              <w:t xml:space="preserve"> Deploying ordnance designed to detonate in the air or penetrate confined spaces maximizing fragmentation against unarmored civilians.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S/1996/337 ¶ 12; HRW </w:t>
            </w:r>
            <w:r>
              <w:rPr>
                <w:rFonts w:ascii="Calibri" w:hAnsi="Calibri"/>
                <w:i/>
                <w:color w:val="1E293B"/>
                <w:sz w:val="17"/>
              </w:rPr>
              <w:t>Operation Grapes of Wrath</w:t>
            </w:r>
            <w:r>
              <w:rPr>
                <w:rFonts w:ascii="Calibri" w:hAnsi="Calibri"/>
                <w:color w:val="1E293B"/>
                <w:sz w:val="17"/>
              </w:rPr>
              <w:t>; CIHL Rule 14.</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 § 5.2 (¶ 52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Qana, the IDF battery mixed variable-time proximity fuzes detonating 7m above ground to shower tin refugee shelters with downward fragmentation; in Minab, CENTCOM programmed its Tomahawk warheads to detonate through roof slabs and directly upon emergency evacuation courtyards, achieving identical maximum human lethality against unarmored children."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Contemporaneous Aerial Surveillance Defeating "Ignorance" Claims:</w:t>
            </w:r>
            <w:r>
              <w:rPr>
                <w:rFonts w:ascii="Calibri" w:hAnsi="Calibri"/>
                <w:color w:val="1E293B"/>
                <w:sz w:val="17"/>
              </w:rPr>
              <w:t xml:space="preserve"> Airborne UAVs over the target area preclude any claim that the command was unaware of civilian presence.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S/1996/337 ¶ 15 (Amateur video of Israeli drone overhead); AP I Art. 57.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6.4 (¶ 72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"Van Kappen’s discovery that an Israeli drone circled over Qana during the shelling dismantled Israel’s claim that it was unaware of refugee presence. In Minab, US naval strike planners possessed continuous real-time satellite imagery and Tomahawk DSMAC optical terminal feeds, proving that the attacking authority maintained visual access to the active schoolyard."</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Financial Liability and Sovereign Compensation for Struck Protected Compounds: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UNGA Res 51/233; ILC ARSIWA Art. 36; ICJ </w:t>
            </w:r>
            <w:r>
              <w:rPr>
                <w:rFonts w:ascii="Calibri" w:hAnsi="Calibri"/>
                <w:i/>
                <w:color w:val="1E293B"/>
                <w:sz w:val="17"/>
              </w:rPr>
              <w:t>Reparation for Injuries</w:t>
            </w:r>
            <w:r>
              <w:rPr>
                <w:rFonts w:ascii="Calibri" w:hAnsi="Calibri"/>
                <w:color w:val="1E293B"/>
                <w:sz w:val="17"/>
              </w:rPr>
              <w:t xml:space="preserve"> (1949).</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X, § 10.2 (¶ 97 quater)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UN General Assembly Resolution 51/233 establishing Israel’s legal liability to compensate the United Nations for the Qana compound damage, the United States is under an identical international obligation to pay full sovereign reparations for the complete reconstruction of the Shajareh Tayyebeh School."</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10: SECOND QANA RESIDENTIAL BUILDING STRIKE (JULY 30, 2006)</w:t>
      </w:r>
    </w:p>
    <w:p>
      <w:pPr>
        <w:spacing w:before="200" w:after="60"/>
      </w:pPr>
      <w:r>
        <w:rPr>
          <w:rFonts w:ascii="Calibri" w:hAnsi="Calibri"/>
          <w:b/>
          <w:color w:val="334155"/>
          <w:sz w:val="22"/>
        </w:rPr>
        <w:t>Chart 10.1: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Fatal Strikes: Israel’s Indiscriminate Attacks Against Civilians in Lebanon</w:t>
            </w:r>
            <w:r>
              <w:rPr>
                <w:rFonts w:ascii="Calibri" w:hAnsi="Calibri"/>
                <w:color w:val="1E293B"/>
                <w:sz w:val="17"/>
              </w:rPr>
              <w:t xml:space="preserve"> (HRW Report, Aug 2006), Chapter IV: "The Attack on Qana" (pp. 33–42).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hrw.org/reports/2006/lebanon0806/4.htm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on-site investigation; verified 28 civilian deaths (including 16 children and 8 women) of the Shalhoub and Hashim families; proved that no rockets or combatants were present in the building.</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Commission of Inquiry on Lebanon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of the Commission of Inquiry on Lebanon Established Pursuant to Human Rights Council Resolution S-2/1</w:t>
            </w:r>
            <w:r>
              <w:rPr>
                <w:rFonts w:ascii="Calibri" w:hAnsi="Calibri"/>
                <w:color w:val="1E293B"/>
                <w:sz w:val="17"/>
              </w:rPr>
              <w:t xml:space="preserve"> (UN Doc. A/HRC/3/2, 23 Nov 2006), ¶¶ 147–158.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undocs.org/A/HRC/3/2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UN inquiry concluding that the strike was an indiscriminate attack violating IHL, rejecting claims that military necessity justified pancaking a multi-family residential building.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Why They Died: Civilian Casualties in Lebanon during the 2006 War</w:t>
            </w:r>
            <w:r>
              <w:rPr>
                <w:rFonts w:ascii="Calibri" w:hAnsi="Calibri"/>
                <w:color w:val="1E293B"/>
                <w:sz w:val="17"/>
              </w:rPr>
              <w:t xml:space="preserve"> (HRW Comprehensive Report, Sept 2007), Chapter II: "The Attack on Qana".</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hrw.org/reports/2007/lebanon0907/3.htm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Follow-up ballistic and legal investigation; definitively dismantled the IDF's claim of delayed collapse or secondary explosions, proving the building collapsed immediately under precision bomb impacts.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Israel/Lebanon: Deliberate Destruction or “Collateral Damage”? Israeli Attacks on Civilian Infrastructure</w:t>
            </w:r>
            <w:r>
              <w:rPr>
                <w:rFonts w:ascii="Calibri" w:hAnsi="Calibri"/>
                <w:color w:val="1E293B"/>
                <w:sz w:val="17"/>
              </w:rPr>
              <w:t xml:space="preserve"> (AI Index: MDE 02/018/2006, Aug 2006).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amnesty.org/en/documents/mde02/018/2006/en/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assessment of the duty of precautions under AP I Art. 57; establishes that dropping warning leaflets does not relieve an attacking force of the obligation to verify civilian presence before kinetic release.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IDF General Staff Investigation / Maj. Gen. Meir Klifi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Summary of the Israeli Air Force Inquiry into the Incident in Qana on July 30, 2006</w:t>
            </w:r>
            <w:r>
              <w:rPr>
                <w:rFonts w:ascii="Calibri" w:hAnsi="Calibri"/>
                <w:color w:val="1E293B"/>
                <w:sz w:val="17"/>
              </w:rPr>
              <w:t xml:space="preserve"> (Tel Aviv, 3 Aug 2006).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mfa.gov.il/mfa/second-qana-inquiry-2006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defense: admits striking the building with two precision-guided munitions on the assumption it was empty of civilians because warning leaflets had been distributed; admits targeting error.</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Security Council Presidential Statement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Statement by the President of the Security Council on the Qana Incident</w:t>
            </w:r>
            <w:r>
              <w:rPr>
                <w:rFonts w:ascii="Calibri" w:hAnsi="Calibri"/>
                <w:color w:val="1E293B"/>
                <w:sz w:val="17"/>
              </w:rPr>
              <w:t xml:space="preserve"> (UN Doc. S/PRST/2006/35, 30 July 2006).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undocs.org/S/PRST/2006/35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Emergency Security Council statement expressing extreme shock and distress at the shelling of a residential building in Qana resulting in the loss of dozens of civilian lives, predominantly children.</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Adil Ahmad Haque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Law and Morality at War</w:t>
            </w:r>
            <w:r>
              <w:rPr>
                <w:rFonts w:ascii="Calibri" w:hAnsi="Calibri"/>
                <w:color w:val="1E293B"/>
                <w:sz w:val="17"/>
              </w:rPr>
              <w:t xml:space="preserve"> (Oxford University Press, 2016), Chapter 6: "Precautions in Attack: The 2006 Qana Precedent" (pp. 140–165).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global.oup.com/academic/product/law-and-morality-at-war-9780199687398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Rigorous philosophical and legal deconstruction of the "warning leaflet fallacy", demonstrating that civilians who remain behind after a warning never lose their protected civilian status under IHL.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Marco Sassòli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2006 Conflict in Lebanon: An Assessment of the Conduct of Hostilities under International Humanitarian Law,"</w:t>
            </w:r>
            <w:r>
              <w:rPr>
                <w:rFonts w:ascii="Calibri" w:hAnsi="Calibri"/>
                <w:color w:val="1E293B"/>
                <w:sz w:val="17"/>
              </w:rPr>
              <w:t xml:space="preserve"> 89 </w:t>
            </w:r>
            <w:r>
              <w:rPr>
                <w:rFonts w:ascii="Calibri" w:hAnsi="Calibri"/>
                <w:i/>
                <w:color w:val="1E293B"/>
                <w:sz w:val="17"/>
              </w:rPr>
              <w:t>International Review of the Red Cross</w:t>
            </w:r>
            <w:r>
              <w:rPr>
                <w:rFonts w:ascii="Calibri" w:hAnsi="Calibri"/>
                <w:color w:val="1E293B"/>
                <w:sz w:val="17"/>
              </w:rPr>
              <w:t xml:space="preserve"> (2007).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icrc.org/en/doc/assets/files/other/irrc-866-sassoli.pdf</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analysis of the presumption of civilian status (AP I Art. 52(3)) and the principle of distinction in asymmetric urban warfare.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Dr. James A. Green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Principle of Proportionality and the 2006 Lebanon War,"</w:t>
            </w:r>
            <w:r>
              <w:rPr>
                <w:rFonts w:ascii="Calibri" w:hAnsi="Calibri"/>
                <w:color w:val="1E293B"/>
                <w:sz w:val="17"/>
              </w:rPr>
              <w:t xml:space="preserve"> 14 </w:t>
            </w:r>
            <w:r>
              <w:rPr>
                <w:rFonts w:ascii="Calibri" w:hAnsi="Calibri"/>
                <w:i/>
                <w:color w:val="1E293B"/>
                <w:sz w:val="17"/>
              </w:rPr>
              <w:t>Journal of Conflict and Security Law</w:t>
            </w:r>
            <w:r>
              <w:rPr>
                <w:rFonts w:ascii="Calibri" w:hAnsi="Calibri"/>
                <w:color w:val="1E293B"/>
                <w:sz w:val="17"/>
              </w:rPr>
              <w:t xml:space="preserve"> 221–245 (2009).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doi.org/10.1093/jcsl/krp017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evaluation of the proportionality calculations of the IDF, concluding that the Qana strike breached customary international law governing civilian casualty thresholds.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Lebanese Red Cross &amp; Civil Defense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First Responder Registry: Rescue and Recovery Operation at the Shalhoub Residence, Qana</w:t>
            </w:r>
            <w:r>
              <w:rPr>
                <w:rFonts w:ascii="Calibri" w:hAnsi="Calibri"/>
                <w:color w:val="1E293B"/>
                <w:sz w:val="17"/>
              </w:rPr>
              <w:t xml:space="preserve"> (Beirut, August 2006).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redcross.org.lb/qana-2006-recovery</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medical records and recovery logs documenting that all 28 recovered victims died from crush asphyxiation and traumatic polytrauma resulting from structural pancaking.</w:t>
            </w:r>
          </w:p>
        </w:tc>
      </w:tr>
    </w:tbl>
    <w:p>
      <w:pPr>
        <w:spacing w:after="120"/>
      </w:pPr>
    </w:p>
    <w:p>
      <w:pPr>
        <w:spacing w:before="200" w:after="60"/>
      </w:pPr>
      <w:r>
        <w:rPr>
          <w:rFonts w:ascii="Calibri" w:hAnsi="Calibri"/>
          <w:b/>
          <w:color w:val="334155"/>
          <w:sz w:val="22"/>
        </w:rPr>
        <w:t>Chart 10.2: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"Warning Leaflet Fallacy":</w:t>
            </w:r>
            <w:r>
              <w:rPr>
                <w:rFonts w:ascii="Calibri" w:hAnsi="Calibri"/>
                <w:color w:val="1E293B"/>
                <w:sz w:val="17"/>
              </w:rPr>
              <w:t xml:space="preserve"> Prior general warnings do not strip remaining civilians of immunity or create a presumption of military status.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Fatal Strikes</w:t>
            </w:r>
            <w:r>
              <w:rPr>
                <w:rFonts w:ascii="Calibri" w:hAnsi="Calibri"/>
                <w:color w:val="1E293B"/>
                <w:sz w:val="17"/>
              </w:rPr>
              <w:t>; Haque (2016); AP I Art. 51(3) &amp; Art. 52(3).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III, § 3.7 (¶ 38 bis) &amp; Chapter VII, § 7.5 (¶ 85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firmly rejects the defense that the general commencement of hostilities or broadcast evacuation calls stripped the Shajareh Tayyebeh schoolgirls of immunity. As established in the Second Qana jurisprudence, civilians who remain in an area—whether due to lack of transport, age, or official duties—retain absolute protection under AP I Art. 51(3). An attacker cannot treat a non-evacuated zone as a free-fire area."</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Pancaking Structural Collapse Mechanics Crushing Basements/Ground Floors:</w:t>
            </w:r>
            <w:r>
              <w:rPr>
                <w:rFonts w:ascii="Calibri" w:hAnsi="Calibri"/>
                <w:color w:val="1E293B"/>
                <w:sz w:val="17"/>
              </w:rPr>
              <w:t xml:space="preserve"> Precision munitions striking foundations/roofs collapse reinforced slabs onto sleeping/sheltering children.</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UN Doc. A/HRC/3/2 ¶ 151; HRW </w:t>
            </w:r>
            <w:r>
              <w:rPr>
                <w:rFonts w:ascii="Calibri" w:hAnsi="Calibri"/>
                <w:i/>
                <w:color w:val="1E293B"/>
                <w:sz w:val="17"/>
              </w:rPr>
              <w:t>Why They Died</w:t>
            </w:r>
            <w:r>
              <w:rPr>
                <w:rFonts w:ascii="Calibri" w:hAnsi="Calibri"/>
                <w:color w:val="1E293B"/>
                <w:sz w:val="17"/>
              </w:rPr>
              <w:t>; CONWEP blast physics.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 § 5.2 (¶ 52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Second Qana, two 500-lb bombs punched through upper floors, causing the reinforced concrete slab to pancake onto the basement shelter where two families were sleeping. In Minab, Impact 1 punched through the school’s central roof slab, pancaking the second-floor library onto ground-floor classrooms, trapping over 100 students beneath reinforced concrete rubble."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Dismantling State Pretexts of "Secondary Detonations":</w:t>
            </w:r>
            <w:r>
              <w:rPr>
                <w:rFonts w:ascii="Calibri" w:hAnsi="Calibri"/>
                <w:color w:val="1E293B"/>
                <w:sz w:val="17"/>
              </w:rPr>
              <w:t xml:space="preserve"> Forensic proof that primary weapon overpressure alone produced structural collapse.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Why They Died</w:t>
            </w:r>
            <w:r>
              <w:rPr>
                <w:rFonts w:ascii="Calibri" w:hAnsi="Calibri"/>
                <w:color w:val="1E293B"/>
                <w:sz w:val="17"/>
              </w:rPr>
              <w:t xml:space="preserve"> Ch. II; UN Commission of Inquiry on Lebanon.</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4.5 (¶ 49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dismantles the Pentagon’s assertion that 'secondary explosions from an IRGC weapons stash' destroyed the school. Just as independent engineers in Qana proved that weapon blast alone collapsed the Hashim building without secondary detonations, physical metallurgy and structural analysis in Minab confirm that zero secondary explosive residues were present; all damage resulted exclusively from three Tomahawk WDU-36/B warheads."</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Rebuttal of Presumed Vacancy:</w:t>
            </w:r>
            <w:r>
              <w:rPr>
                <w:rFonts w:ascii="Calibri" w:hAnsi="Calibri"/>
                <w:color w:val="1E293B"/>
                <w:sz w:val="17"/>
              </w:rPr>
              <w:t xml:space="preserve"> The obligation of continuous positive identification (PID) up to the instant of weapon release.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IDF Inquiry Report (Klifi); CIHL Rule 16; AP I Art. 57(2)(a)(i).</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6.4 (¶ 72 quater)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Israeli Air Force’s admission that it assumed the building was vacant because of prior warnings was condemned by the UN Commission as gross negligence. CENTCOM’s identical assumption that the Minab school compound was an unoccupied IRGC annex constitutes culpable recklessness (dolus eventualis) under Article 30 of the Rome Statute."</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11: NATO RTS TELEVISION STATION STRIKE (APRIL 23, 1999)</w:t>
      </w:r>
    </w:p>
    <w:p>
      <w:pPr>
        <w:spacing w:before="200" w:after="60"/>
      </w:pPr>
      <w:r>
        <w:rPr>
          <w:rFonts w:ascii="Calibri" w:hAnsi="Calibri"/>
          <w:b/>
          <w:color w:val="334155"/>
          <w:sz w:val="22"/>
        </w:rPr>
        <w:t>Chart 11.1: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Court of Human Rights (Grand Chamber)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Banković and Others v. Belgium and 16 Other Contracting States</w:t>
            </w:r>
            <w:r>
              <w:rPr>
                <w:rFonts w:ascii="Calibri" w:hAnsi="Calibri"/>
                <w:color w:val="1E293B"/>
                <w:sz w:val="17"/>
              </w:rPr>
              <w:t xml:space="preserve"> (Application no. 52207/99), Grand Chamber Decision on Admissibility of 12 December 2001.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hudoc.echr.coe.int/eng?i=001-22099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The seminal European ruling on the extraterritorial jurisdiction of the ECHR under Article 1; establishes the spatial model of jurisdiction and sets the baseline for subsequent extraterritorial jurisprudence (</w:t>
            </w:r>
            <w:r>
              <w:rPr>
                <w:rFonts w:ascii="Calibri" w:hAnsi="Calibri"/>
                <w:i/>
                <w:color w:val="1E293B"/>
                <w:sz w:val="17"/>
              </w:rPr>
              <w:t>Al-Skeini</w:t>
            </w:r>
            <w:r>
              <w:rPr>
                <w:rFonts w:ascii="Calibri" w:hAnsi="Calibri"/>
                <w:color w:val="1E293B"/>
                <w:sz w:val="17"/>
              </w:rPr>
              <w:t xml:space="preserve">, </w:t>
            </w:r>
            <w:r>
              <w:rPr>
                <w:rFonts w:ascii="Calibri" w:hAnsi="Calibri"/>
                <w:i/>
                <w:color w:val="1E293B"/>
                <w:sz w:val="17"/>
              </w:rPr>
              <w:t>Hanan</w:t>
            </w:r>
            <w:r>
              <w:rPr>
                <w:rFonts w:ascii="Calibri" w:hAnsi="Calibri"/>
                <w:color w:val="1E293B"/>
                <w:sz w:val="17"/>
              </w:rPr>
              <w: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ICTY Office of the Prosecutor (OTP)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Final Report to the Prosecutor by the Committee Established to Review the NATO Bombing Campaign Against the Federal Republic of Yugoslavia</w:t>
            </w:r>
            <w:r>
              <w:rPr>
                <w:rFonts w:ascii="Calibri" w:hAnsi="Calibri"/>
                <w:color w:val="1E293B"/>
                <w:sz w:val="17"/>
              </w:rPr>
              <w:t xml:space="preserve"> (13 June 2000), ¶¶ 71–79.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icty.org/en/press/final-report-nato-bombing</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criminal review of the RTS strike; examines whether media propaganda organs qualify as legitimate military objectives; evaluates the proportionality of killing 16 civilian technicians.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Marko Milanovic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Extraterritorial Application of Human Rights Treaties: Law, Principles, and Policy</w:t>
            </w:r>
            <w:r>
              <w:rPr>
                <w:rFonts w:ascii="Calibri" w:hAnsi="Calibri"/>
                <w:color w:val="1E293B"/>
                <w:sz w:val="17"/>
              </w:rPr>
              <w:t xml:space="preserve"> (Oxford University Press, 2011), Chapter 2: "Deconstructing Banković" (pp. 55–118).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global.oup.com/academic/product/extraterritorial-application-of-human-rights-treaties-9780199696208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The definitive academic critique of the </w:t>
            </w:r>
            <w:r>
              <w:rPr>
                <w:rFonts w:ascii="Calibri" w:hAnsi="Calibri"/>
                <w:i/>
                <w:color w:val="1E293B"/>
                <w:sz w:val="17"/>
              </w:rPr>
              <w:t>Banković</w:t>
            </w:r>
            <w:r>
              <w:rPr>
                <w:rFonts w:ascii="Calibri" w:hAnsi="Calibri"/>
                <w:color w:val="1E293B"/>
                <w:sz w:val="17"/>
              </w:rPr>
              <w:t xml:space="preserve"> decision, tracing the evolution of personal and spatial jurisdiction in extraterritorial military operations and aerial bombardments.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“Collateral Damage” or Unlawful Killings? Violations of the Laws of War by NATO</w:t>
            </w:r>
            <w:r>
              <w:rPr>
                <w:rFonts w:ascii="Calibri" w:hAnsi="Calibri"/>
                <w:color w:val="1E293B"/>
                <w:sz w:val="17"/>
              </w:rPr>
              <w:t xml:space="preserve"> (AI Index: EUR 70/018/2000, June 2000), Chapter: The Attack on RTS Headquarters.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amnesty.org/en/documents/eur70/018/2000/en/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Concludes that the attack on RTS was a deliberate attack on a civilian object violating AP I Art. 52; establishes that disrupting state propaganda does not offer a direct and concrete military advantage.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Deaths in the NATO Air Campaign</w:t>
            </w:r>
            <w:r>
              <w:rPr>
                <w:rFonts w:ascii="Calibri" w:hAnsi="Calibri"/>
                <w:color w:val="1E293B"/>
                <w:sz w:val="17"/>
              </w:rPr>
              <w:t xml:space="preserve"> (HRW Report, Feb 2000, Vol. 12, No. 1(D)), Section: Radio-Television Serbia, Belgrade.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hrw.org/reports/2000/nato/Natbm200-01.htm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Documents the death of 16 technicians; proves that the strike failed to silence Yugoslav broadcasting (which resumed within 3 hours from a backup transmitter) while imposing predictable civilian deaths.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W. J. Fenrick</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and Proportionality during the NATO Bombing Campaign against Yugoslavia,"</w:t>
            </w:r>
            <w:r>
              <w:rPr>
                <w:rFonts w:ascii="Calibri" w:hAnsi="Calibri"/>
                <w:color w:val="1E293B"/>
                <w:sz w:val="17"/>
              </w:rPr>
              <w:t xml:space="preserve"> 12 </w:t>
            </w:r>
            <w:r>
              <w:rPr>
                <w:rFonts w:ascii="Calibri" w:hAnsi="Calibri"/>
                <w:i/>
                <w:color w:val="1E293B"/>
                <w:sz w:val="17"/>
              </w:rPr>
              <w:t>EJIL</w:t>
            </w:r>
            <w:r>
              <w:rPr>
                <w:rFonts w:ascii="Calibri" w:hAnsi="Calibri"/>
                <w:color w:val="1E293B"/>
                <w:sz w:val="17"/>
              </w:rPr>
              <w:t xml:space="preserve"> 489–502 (2001).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academic.oup.com/ejil/article/12/3/489/410656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Senior ICTY OTP legal adviser’s analysis of dual-use infrastructure and the legal threshold required to target television facilities under AP I Art. 52(2).</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Francoise J. Hampson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Scope of the Extra-Territorial Application of the European Convention on Human Rights,"</w:t>
            </w:r>
            <w:r>
              <w:rPr>
                <w:rFonts w:ascii="Calibri" w:hAnsi="Calibri"/>
                <w:color w:val="1E293B"/>
                <w:sz w:val="17"/>
              </w:rPr>
              <w:t xml:space="preserve"> in </w:t>
            </w:r>
            <w:r>
              <w:rPr>
                <w:rFonts w:ascii="Calibri" w:hAnsi="Calibri"/>
                <w:i/>
                <w:color w:val="1E293B"/>
                <w:sz w:val="17"/>
              </w:rPr>
              <w:t>Armed Conflict and Human Rights</w:t>
            </w:r>
            <w:r>
              <w:rPr>
                <w:rFonts w:ascii="Calibri" w:hAnsi="Calibri"/>
                <w:color w:val="1E293B"/>
                <w:sz w:val="17"/>
              </w:rPr>
              <w:t xml:space="preserve"> (2004), pp. 63–82.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academic.oup.com/ejil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Critical deconstruction of the Council of Europe </w:t>
            </w:r>
            <w:r>
              <w:rPr>
                <w:rFonts w:ascii="Calibri" w:hAnsi="Calibri"/>
                <w:i/>
                <w:color w:val="1E293B"/>
                <w:sz w:val="17"/>
              </w:rPr>
              <w:t>espace juridique</w:t>
            </w:r>
            <w:r>
              <w:rPr>
                <w:rFonts w:ascii="Calibri" w:hAnsi="Calibri"/>
                <w:color w:val="1E293B"/>
                <w:sz w:val="17"/>
              </w:rPr>
              <w:t xml:space="preserve"> doctrine, advocating for the functional control model over individuals affected by lethal state force.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Federation of Journalists (IFJ)</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Justice for the RTS 16: International Inquiry Report into the Bombing of RTS</w:t>
            </w:r>
            <w:r>
              <w:rPr>
                <w:rFonts w:ascii="Calibri" w:hAnsi="Calibri"/>
                <w:color w:val="1E293B"/>
                <w:sz w:val="17"/>
              </w:rPr>
              <w:t xml:space="preserve"> (Brussels, 2000).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ifj.org/rts-16-investigation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Global media union investigation condemning the strike as an attack on journalism; establishes that media personnel retain civilian immunity regardless of editorial bias.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Belgrade District Court Judgments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Judgment of the Belgrade District Court in the Trial of Dragoljub Milanović (RTS Director)</w:t>
            </w:r>
            <w:r>
              <w:rPr>
                <w:rFonts w:ascii="Calibri" w:hAnsi="Calibri"/>
                <w:color w:val="1E293B"/>
                <w:sz w:val="17"/>
              </w:rPr>
              <w:t xml:space="preserve"> (Belgrade, 2002).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b92.net/archive/milanovic-rts-verdict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Domestic trial convicting the RTS director for criminal negligence in failing to evacuate the building despite receiving prior indications of attack, while establishing the lethal impact of the missile.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Matthew Waxman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International Law and the Politics of Urban Air Operations</w:t>
            </w:r>
            <w:r>
              <w:rPr>
                <w:rFonts w:ascii="Calibri" w:hAnsi="Calibri"/>
                <w:color w:val="1E293B"/>
                <w:sz w:val="17"/>
              </w:rPr>
              <w:t xml:space="preserve"> (RAND Corporation, Project Air Force, 2000), Chapter 3: Dual-Use Infrastructure Targeting.</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rand.org/pubs/monograph_reports/MR1175.html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Policy and legal analysis of NATO's dual-use doctrine and the strict criteria required to demonstrate "definite military advantage" under international law.</w:t>
            </w:r>
          </w:p>
        </w:tc>
      </w:tr>
    </w:tbl>
    <w:p>
      <w:pPr>
        <w:spacing w:after="120"/>
      </w:pPr>
    </w:p>
    <w:p>
      <w:pPr>
        <w:spacing w:before="200" w:after="60"/>
      </w:pPr>
      <w:r>
        <w:rPr>
          <w:rFonts w:ascii="Calibri" w:hAnsi="Calibri"/>
          <w:b/>
          <w:color w:val="334155"/>
          <w:sz w:val="22"/>
        </w:rPr>
        <w:t>Chart 11.2: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Strict Dual-Use Standard: Defining "Definite Military Advantage":</w:t>
            </w:r>
            <w:r>
              <w:rPr>
                <w:rFonts w:ascii="Calibri" w:hAnsi="Calibri"/>
                <w:color w:val="1E293B"/>
                <w:sz w:val="17"/>
              </w:rPr>
              <w:t xml:space="preserve"> Infrastructure cannot be deemed a military objective merely by political association.</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OTP Report ¶¶ 74–76; AP I Art. 52(2); CIHL Rule 8.</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III, § 3.4 (¶ 35 bis) &amp; § 3.6 (¶ 37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incorporates the ICTY OTP’s strict holding in the RTS review: under AP I Art. 52(2), an object qualifies as a military objective only if its total or partial destruction offers a 'definite military advantage in the circumstances ruling at the time.' In Minab, striking an elementary school offered zero military advantage against the IRGC Navy, converting the strike into a direct attack on a civilian object."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Evolution of Extraterritorial Jurisdiction (Surpassing *Banković*):</w:t>
            </w:r>
            <w:r>
              <w:rPr>
                <w:rFonts w:ascii="Calibri" w:hAnsi="Calibri"/>
                <w:color w:val="1E293B"/>
                <w:sz w:val="17"/>
              </w:rPr>
              <w:t xml:space="preserve"> Functional control over the individual through lethal kinetic force.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Banković</w:t>
            </w:r>
            <w:r>
              <w:rPr>
                <w:rFonts w:ascii="Calibri" w:hAnsi="Calibri"/>
                <w:color w:val="1E293B"/>
                <w:sz w:val="17"/>
              </w:rPr>
              <w:t xml:space="preserve"> [GC] (2001); </w:t>
            </w:r>
            <w:r>
              <w:rPr>
                <w:rFonts w:ascii="Calibri" w:hAnsi="Calibri"/>
                <w:i/>
                <w:color w:val="1E293B"/>
                <w:sz w:val="17"/>
              </w:rPr>
              <w:t>Al-Skeini v. UK</w:t>
            </w:r>
            <w:r>
              <w:rPr>
                <w:rFonts w:ascii="Calibri" w:hAnsi="Calibri"/>
                <w:color w:val="1E293B"/>
                <w:sz w:val="17"/>
              </w:rPr>
              <w:t xml:space="preserve"> [GC] (2011); </w:t>
            </w:r>
            <w:r>
              <w:rPr>
                <w:rFonts w:ascii="Calibri" w:hAnsi="Calibri"/>
                <w:i/>
                <w:color w:val="1E293B"/>
                <w:sz w:val="17"/>
              </w:rPr>
              <w:t>Hanan v. Germany</w:t>
            </w:r>
            <w:r>
              <w:rPr>
                <w:rFonts w:ascii="Calibri" w:hAnsi="Calibri"/>
                <w:color w:val="1E293B"/>
                <w:sz w:val="17"/>
              </w:rPr>
              <w:t xml:space="preserve"> [GC] (2021); UN HRC GC 36 ¶ 63.</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9.2 (¶ 93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"While Banković initially restricted ECHR extraterritorial jurisdiction, modern international jurisprudence—including UN Human Rights Committee General Comment 36 and the ECtHR’s judgments in Al-Skeini and Hanan—affirms that a state exercises jurisdiction whenever it exercises direct physical or functional power over the life of an individual through precision standoff strikes. The US exercised direct jurisdictional power over the victims of Minab."</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Absence of Tactical Advance Warning for Night/Workplace Shifts: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OTP Report ¶ 77; Amnesty RTS Report; AP I Art. 57(2)(c).</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7.5 (¶ 85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"NATO’s vague public statements that television transmitters were liable to attack were held by international observers to violate the mandatory advance warning rule of AP I Art. 57(2)(c) because no warning was given to the on-duty technicians. In Minab, zero warning was issued to the school administration, rendering the strike doubly unlawful."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Disproportionality of Kinetic Strikes Producing Negligible Military Result: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Civilian Deaths</w:t>
            </w:r>
            <w:r>
              <w:rPr>
                <w:rFonts w:ascii="Calibri" w:hAnsi="Calibri"/>
                <w:color w:val="1E293B"/>
                <w:sz w:val="17"/>
              </w:rPr>
              <w:t xml:space="preserve"> (RTS resumed in 3 hours); Fenrick (2001); CIHL Rule 14.</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 quater)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the destruction of RTS caused 16 civilian deaths while failing to sever military communications, the pulverization of Shajareh Tayyebeh killed 156 children without causing a single casualty or operational disruption to the adjacent naval shed, rendering the attack manifestly disproportionate under Rome Statute Art. 8(2)(b)(iv)."</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12: NATO BOMBING OF KORIŠA VILLAGE REFUGEE ENCAMPMENT (MAY 14, 1999)</w:t>
      </w:r>
    </w:p>
    <w:p>
      <w:pPr>
        <w:spacing w:before="200" w:after="60"/>
      </w:pPr>
      <w:r>
        <w:rPr>
          <w:rFonts w:ascii="Calibri" w:hAnsi="Calibri"/>
          <w:b/>
          <w:color w:val="334155"/>
          <w:sz w:val="22"/>
        </w:rPr>
        <w:t>Chart 12.1: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ICTY Office of the Prosecutor (OTP)</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Final Report to the Prosecutor by the Committee Established to Review the NATO Bombing Campaign Against the Federal Republic of Yugoslavia</w:t>
            </w:r>
            <w:r>
              <w:rPr>
                <w:rFonts w:ascii="Calibri" w:hAnsi="Calibri"/>
                <w:color w:val="1E293B"/>
                <w:sz w:val="17"/>
              </w:rPr>
              <w:t xml:space="preserve"> (13 June 2000), ¶¶ 86–89.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icty.org/en/press/final-report-nato-bombing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criminal assessment of the Korisa village bombing; analyzes high-altitude pilot sensor misidentification; evaluates the conflicting evidence regarding Serbian military presence and civilian refugees.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NATO Operational Press Briefing</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Press Conference by NATO Spokesman Jamie Shea and Major General Walter Jertz</w:t>
            </w:r>
            <w:r>
              <w:rPr>
                <w:rFonts w:ascii="Calibri" w:hAnsi="Calibri"/>
                <w:color w:val="1E293B"/>
                <w:sz w:val="17"/>
              </w:rPr>
              <w:t xml:space="preserve"> (Brussels, 15 May 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nato.int/kosovo/press/p990515b.htm</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NATO explanation admitting that aircraft dropped two laser-guided bombs followed ten minutes later by two laser-guided bombs and six unguided gravity bombs on a site identified as a military bivouac.</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Deaths in the NATO Air Campaign</w:t>
            </w:r>
            <w:r>
              <w:rPr>
                <w:rFonts w:ascii="Calibri" w:hAnsi="Calibri"/>
                <w:color w:val="1E293B"/>
                <w:sz w:val="17"/>
              </w:rPr>
              <w:t xml:space="preserve"> (HRW Report, Feb 2000, Vol. 12, No. 1(D)), Section: "Korisa, Kosovo (May 13-14, 1999)".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hrw.org/reports/2000/nato/Natbm200-01.htm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Field investigation verifying up to 87 civilian refugee deaths; establishes that the refugees had stopped to sleep in the farm compound; challenges NATO’s failure to detect hundreds of civilians gathered in the open.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“Collateral Damage” or Unlawful Killings? Violations of the Laws of War by NATO</w:t>
            </w:r>
            <w:r>
              <w:rPr>
                <w:rFonts w:ascii="Calibri" w:hAnsi="Calibri"/>
                <w:color w:val="1E293B"/>
                <w:sz w:val="17"/>
              </w:rPr>
              <w:t xml:space="preserve"> (AI Index: EUR 70/018/2000, June 2000), Chapter: The Attack on Displaced Civilians at Korisa.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amnesty.org/en/documents/eur70/018/2000/en/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Rigorous legal critique under AP I Art. 57; argues that pilot altitude restrictions (15,000 ft floor) impaired target verification, leading directly to the slaughter of displaced Kosovar Albanian families.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OSCE Spillover Monitor Mission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Kosovo/Kosova As Seen, As Told: An Analysis of the Human Rights Findings</w:t>
            </w:r>
            <w:r>
              <w:rPr>
                <w:rFonts w:ascii="Calibri" w:hAnsi="Calibri"/>
                <w:color w:val="1E293B"/>
                <w:sz w:val="17"/>
              </w:rPr>
              <w:t xml:space="preserve"> (OSCE/ODIHR, Warsaw, 1999), Part II, Chapter 14: Prizren Municipality.</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osce.org/odihr/17772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Ground-level testimonial record of surviving refugees describing how displaced families congregated in the Korisa agricultural yard before being struck by aerial bombs.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Paolo Benvenuti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ICTY Prosecutor and the Review of the NATO Bombing Campaign against the Federal Republic of Yugoslavia,"</w:t>
            </w:r>
            <w:r>
              <w:rPr>
                <w:rFonts w:ascii="Calibri" w:hAnsi="Calibri"/>
                <w:color w:val="1E293B"/>
                <w:sz w:val="17"/>
              </w:rPr>
              <w:t xml:space="preserve"> 12 </w:t>
            </w:r>
            <w:r>
              <w:rPr>
                <w:rFonts w:ascii="Calibri" w:hAnsi="Calibri"/>
                <w:i/>
                <w:color w:val="1E293B"/>
                <w:sz w:val="17"/>
              </w:rPr>
              <w:t>European Journal of International Law</w:t>
            </w:r>
            <w:r>
              <w:rPr>
                <w:rFonts w:ascii="Calibri" w:hAnsi="Calibri"/>
                <w:color w:val="1E293B"/>
                <w:sz w:val="17"/>
              </w:rPr>
              <w:t xml:space="preserve"> 503–529 (2001).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academic.oup.com/ejil/article/12/3/503/410663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Critical scholarly assessment of the ICTY OTP committee’s reasoning in Korisa, arguing that the committee was overly deferential to military claims of sensor ambiguity.</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and Humanitarian Law: Current Issues,"</w:t>
            </w:r>
            <w:r>
              <w:rPr>
                <w:rFonts w:ascii="Calibri" w:hAnsi="Calibri"/>
                <w:color w:val="1E293B"/>
                <w:sz w:val="17"/>
              </w:rPr>
              <w:t xml:space="preserve"> 34 </w:t>
            </w:r>
            <w:r>
              <w:rPr>
                <w:rFonts w:ascii="Calibri" w:hAnsi="Calibri"/>
                <w:i/>
                <w:color w:val="1E293B"/>
                <w:sz w:val="17"/>
              </w:rPr>
              <w:t>Israel Yearbook on Human Rights</w:t>
            </w:r>
            <w:r>
              <w:rPr>
                <w:rFonts w:ascii="Calibri" w:hAnsi="Calibri"/>
                <w:color w:val="1E293B"/>
                <w:sz w:val="17"/>
              </w:rPr>
              <w:t xml:space="preserve"> 59–104 (2004).</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ssrn.com/abstract=1418704</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Examines the legal implications of operating above cloud ceilings or at high altitudes where sensors cannot confirm target identity; analyzes the duty to abort attacks under AP I Art. 57(2)(b).</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Commentary on the Additional Protocols of 8 June 1977 to the Geneva Conventions of 12 August 1949</w:t>
            </w:r>
            <w:r>
              <w:rPr>
                <w:rFonts w:ascii="Calibri" w:hAnsi="Calibri"/>
                <w:color w:val="1E293B"/>
                <w:sz w:val="17"/>
              </w:rPr>
              <w:t xml:space="preserve"> (Geneva, 1987), Commentary on Article 57 (Precautions in Attack).</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ihl-databases.icrc.org/applic/ihl/dihl.nsf/Comment.xsp?action=openDocument&amp;documentId=D88301E04B4F238EC12563CD0043A675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commentary outlining the duty of combat aircrews to cancel or suspend an attack if it becomes apparent that the objective is not a military one.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Federal Republic of Yugoslavia (Ministry of Foreign Affairs)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NATO Crimes in Yugoslavia: Documentary Evidence</w:t>
            </w:r>
            <w:r>
              <w:rPr>
                <w:rFonts w:ascii="Calibri" w:hAnsi="Calibri"/>
                <w:color w:val="1E293B"/>
                <w:sz w:val="17"/>
              </w:rPr>
              <w:t xml:space="preserve"> (Belgrade, 1999, Vol. 2), Chapter: The Korisa Massacre.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fas.org/man/dod-101/ops/war/docs/white-book</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Photographic and demographic documentation of the recovery of 87 civilian corpses, shrapnel fragments, and incinerated civilian agricultural tractors.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United Nations Environment Programme (UNEP)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Kosovo Conflict: Consequences for the Environment &amp; Human Settlements</w:t>
            </w:r>
            <w:r>
              <w:rPr>
                <w:rFonts w:ascii="Calibri" w:hAnsi="Calibri"/>
                <w:color w:val="1E293B"/>
                <w:sz w:val="17"/>
              </w:rPr>
              <w:t xml:space="preserve"> (Geneva, 1999), Site Survey: Korisa.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unep.org/resources/report/kosovo-conflict-environmental-assessment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Technical environmental and munitions survey verifying the distribution of crater patterns and high-explosive blast effects across the Korisa agricultural site.</w:t>
            </w:r>
          </w:p>
        </w:tc>
      </w:tr>
    </w:tbl>
    <w:p>
      <w:pPr>
        <w:spacing w:after="120"/>
      </w:pPr>
    </w:p>
    <w:p>
      <w:pPr>
        <w:spacing w:before="200" w:after="60"/>
      </w:pPr>
      <w:r>
        <w:rPr>
          <w:rFonts w:ascii="Calibri" w:hAnsi="Calibri"/>
          <w:b/>
          <w:color w:val="334155"/>
          <w:sz w:val="22"/>
        </w:rPr>
        <w:t>Chart 12.2: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High-Altitude Sensor Ambiguity &amp; Duty to Abort (AP I Art. 57(2)(b)):</w:t>
            </w:r>
            <w:r>
              <w:rPr>
                <w:rFonts w:ascii="Calibri" w:hAnsi="Calibri"/>
                <w:color w:val="1E293B"/>
                <w:sz w:val="17"/>
              </w:rPr>
              <w:t xml:space="preserve"> Operating sensors at standoff distances without confirming ground identity violates targeting diligence.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OTP Report ¶¶ 87–88; Schmitt (2004); AP I Art. 57(2)(b).</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6.4 (¶ 72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recalls the critical holding of the Korisa precedent: where sensor feeds are degraded by standoff altitude, weather, or algorithmic filtering, an attacking force is under an affirmative legal duty under AP I Art. 57(2)(b) to suspend or abort the attack. CENTCOM’s decision to launch standoff cruise missiles into Minab without optical ground verification breached this mandatory precautionary rule."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Mixed Precision and Gravity Ordnance Delivery:</w:t>
            </w:r>
            <w:r>
              <w:rPr>
                <w:rFonts w:ascii="Calibri" w:hAnsi="Calibri"/>
                <w:color w:val="1E293B"/>
                <w:sz w:val="17"/>
              </w:rPr>
              <w:t xml:space="preserve"> Releasing unguided munitions or sequential salvos into ambiguous spaces compound slaughter.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NATO Briefing (Jamie Shea); HRW </w:t>
            </w:r>
            <w:r>
              <w:rPr>
                <w:rFonts w:ascii="Calibri" w:hAnsi="Calibri"/>
                <w:i/>
                <w:color w:val="1E293B"/>
                <w:sz w:val="17"/>
              </w:rPr>
              <w:t>Civilian Deaths</w:t>
            </w:r>
            <w:r>
              <w:rPr>
                <w:rFonts w:ascii="Calibri" w:hAnsi="Calibri"/>
                <w:color w:val="1E293B"/>
                <w:sz w:val="17"/>
              </w:rPr>
              <w:t>; CIHL Rule 11.</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 § 5.2 (¶ 52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Korisa, NATO dropped laser-guided bombs followed ten minutes later by unguided gravity bombs into a sleeping refugee camp; in Minab, CENTCOM delivered a triple-tap Tomahawk salvo separated by 135-second intervals, ensuring that ground-floor survivors fleeing the first precision strike were slaughtered by follow-on warheads."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Rejection of the "Involuntary Human Shield" Pretext:</w:t>
            </w:r>
            <w:r>
              <w:rPr>
                <w:rFonts w:ascii="Calibri" w:hAnsi="Calibri"/>
                <w:color w:val="1E293B"/>
                <w:sz w:val="17"/>
              </w:rPr>
              <w:t xml:space="preserve"> Allegations of enemy presence adjacent to civilians do not relieve attacking forces of proportionality duties.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OTP Report ¶ 88; Benvenuti (2001); AP I Art. 51(8).</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Article 51(8) of Additional Protocol I, even if Serbian forces had concentrated refugees at Korisa, or even if an IRGC naval shed stood 42m north of the Minab school, the attacking belligerent is never released from its humanitarian obligations of proportionality and feasible precautions toward the civilian population."</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Misidentification of Civilian Vehicles/Structures as Military Hardware: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HRW Korisa Report; UNEP Technical Survey; CIHL Rule 16.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6.2.1 (¶ 64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Korisa, forward air controllers misidentified civilian farm wagons and tractors as military APCs; in Minab, automated targeting software misidentified civilian playground equipment and perimeter walls as military depot revetments, exemplifying algorithmic hallucination."</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13: HASS SCHOOL COMPLEX MULTI-AIRSTRIKE (OCTOBER 26, 2016)</w:t>
      </w:r>
    </w:p>
    <w:p>
      <w:pPr>
        <w:spacing w:before="200" w:after="60"/>
      </w:pPr>
      <w:r>
        <w:rPr>
          <w:rFonts w:ascii="Calibri" w:hAnsi="Calibri"/>
          <w:b/>
          <w:color w:val="334155"/>
          <w:sz w:val="22"/>
        </w:rPr>
        <w:t>Chart 13.1: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Independent International Commission of Inquiry on Syria</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of the Independent International Commission of Inquiry on the Syrian Arab Republic</w:t>
            </w:r>
            <w:r>
              <w:rPr>
                <w:rFonts w:ascii="Calibri" w:hAnsi="Calibri"/>
                <w:color w:val="1E293B"/>
                <w:sz w:val="17"/>
              </w:rPr>
              <w:t xml:space="preserve"> (UN Doc. A/HRC/34/64, 2 Feb 2017), ¶¶ 38–43 &amp; Annex IV.</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undocs.org/A/HRC/34/64</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UN finding confirming that Syrian/Russian aerial forces executed consecutive airstrikes directly hitting a complex of four schools in session, killing 36 civilians (22 children); established war crime of targeting education.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Secretary-General Board of Inquiry</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Summary by the Secretary-General of the Report of the United Nations Board of Inquiry into Certain Incidents in Northwest Syria</w:t>
            </w:r>
            <w:r>
              <w:rPr>
                <w:rFonts w:ascii="Calibri" w:hAnsi="Calibri"/>
                <w:color w:val="1E293B"/>
                <w:sz w:val="17"/>
              </w:rPr>
              <w:t xml:space="preserve"> (UN Doc. S/2020/303, April 2020).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undocs.org/S/2020/303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Secretary-General investigation verifying coordinate deconfliction and the systematic pattern of aerial attacks targeting educational and medical infrastructure in Idlib.</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Bellingcat Visual Investigation Team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Open Source Evidence of the Haas School Complex Double-Tap Airstrikes</w:t>
            </w:r>
            <w:r>
              <w:rPr>
                <w:rFonts w:ascii="Calibri" w:hAnsi="Calibri"/>
                <w:color w:val="1E293B"/>
                <w:sz w:val="17"/>
              </w:rPr>
              <w:t xml:space="preserve"> (Bellingcat Visual Forensics, 28 Oct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bellingcat.com/news/mena/haas-school-strike-open-source-evidence/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Seminal visual investigation using sun-shadow chronolocation, plane-spotter observation logs, and munition metallurgy (ODAB/FAB parachute fuzes) to definitively dismantle state denials.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Syria: Attacks on Schools May Be War Crimes: October 26 Strike Killed 22 Children, 6 Teachers in Haas</w:t>
            </w:r>
            <w:r>
              <w:rPr>
                <w:rFonts w:ascii="Calibri" w:hAnsi="Calibri"/>
                <w:color w:val="1E293B"/>
                <w:sz w:val="17"/>
              </w:rPr>
              <w:t xml:space="preserve"> (HRW Report, 6 Nov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hrw.org/news/2016/11/06/syria-attacks-schools-may-be-war-crimes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On-site investigation establishing that multiple aerial bombs were dropped into a residential school zone during active morning classroom hours; documented zero military assets present.</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Syrian Civil Defence (The White Helmets)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First Responder Forensic Field Report: Haas School Complex Bombardment and Secondary Evacuation Ambush</w:t>
            </w:r>
            <w:r>
              <w:rPr>
                <w:rFonts w:ascii="Calibri" w:hAnsi="Calibri"/>
                <w:color w:val="1E293B"/>
                <w:sz w:val="17"/>
              </w:rPr>
              <w:t xml:space="preserve"> (Idlib, Oct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whitehelmets.org/haas-investigation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rescue log documenting the double-tap strike dynamics: how first responders and evacuating schoolchildren were targeted by the second aerial pass while fleeing.</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Syrian Network for Human Rights (SNHR)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Haas Massacre: Syrian and Russian Forces Bomb an Educational Complex in Idlib</w:t>
            </w:r>
            <w:r>
              <w:rPr>
                <w:rFonts w:ascii="Calibri" w:hAnsi="Calibri"/>
                <w:color w:val="1E293B"/>
                <w:sz w:val="17"/>
              </w:rPr>
              <w:t xml:space="preserve"> (SNHR Documentation Report, 31 Oct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snhr.org/haas-school-massacre-report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casualty registry publishing names, photographs, and birthdates of all 22 school children and 6 teachers killed, confirming the civilian composition of the complex.</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UNICEF / Executive Director Anthony Lake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Statement on the Deadly Attack on Haas School Complex in Idlib, Syria</w:t>
            </w:r>
            <w:r>
              <w:rPr>
                <w:rFonts w:ascii="Calibri" w:hAnsi="Calibri"/>
                <w:color w:val="1E293B"/>
                <w:sz w:val="17"/>
              </w:rPr>
              <w:t xml:space="preserve"> (UNICEF Press Release, 26 Oct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unicef.org/press-releases/haas-school-complex-strike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Statement designating the strike as potentially the deadliest attack on a school since the conflict began, calling it a direct violation of international law and children’s fundamental rights.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Global Coalition to Protect Education from Attack (GCPEA)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Education under Attack 2018: A Global Study of Attacks on Schools and Universities</w:t>
            </w:r>
            <w:r>
              <w:rPr>
                <w:rFonts w:ascii="Calibri" w:hAnsi="Calibri"/>
                <w:color w:val="1E293B"/>
                <w:sz w:val="17"/>
              </w:rPr>
              <w:t xml:space="preserve"> (New York, 2018), Syria Country Profile: Haas Complex.</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protectingeducation.org/education-under-attack-2018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In-depth academic analysis of the intentional degradation of educational infrastructure, integrating the Safe Schools Declaration guidelines into criminal accountability dockets.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Syria: Relentless Air Strikes on Schools in Idlib Defy Humanity</w:t>
            </w:r>
            <w:r>
              <w:rPr>
                <w:rFonts w:ascii="Calibri" w:hAnsi="Calibri"/>
                <w:color w:val="1E293B"/>
                <w:sz w:val="17"/>
              </w:rPr>
              <w:t xml:space="preserve"> (AI Public Statement, 27 Oct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amnesty.org/en/latest/news/2016/10/syria-idlib-schools-strikes/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condemnation citing AP I Arts. 48, 51, and 52; establishes that consecutive bombings of educational compounds demonstrate reckless indifference to civilian life.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Intercept / Visual Forensics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Double-Tap Aerial Strikes: Visual Reconstruction of the Air Ambush on Fleeing Schoolchildren in Haas</w:t>
            </w:r>
            <w:r>
              <w:rPr>
                <w:rFonts w:ascii="Calibri" w:hAnsi="Calibri"/>
                <w:color w:val="1E293B"/>
                <w:sz w:val="17"/>
              </w:rPr>
              <w:t xml:space="preserve"> (Nov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theintercept.com/haas-double-tap-reconstruction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 architectural modeling proving the line-of-sight flight path of Su-24 aircraft and demonstrating how the delayed second strike was calculated to intercept evacuating crowds.</w:t>
            </w:r>
          </w:p>
        </w:tc>
      </w:tr>
    </w:tbl>
    <w:p>
      <w:pPr>
        <w:spacing w:after="120"/>
      </w:pPr>
    </w:p>
    <w:p>
      <w:pPr>
        <w:spacing w:before="200" w:after="60"/>
      </w:pPr>
      <w:r>
        <w:rPr>
          <w:rFonts w:ascii="Calibri" w:hAnsi="Calibri"/>
          <w:b/>
          <w:color w:val="334155"/>
          <w:sz w:val="22"/>
        </w:rPr>
        <w:t>Chart 13.2: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"Double-Tap / Multi-Tap" Evacuation Ambush Dynamics:</w:t>
            </w:r>
            <w:r>
              <w:rPr>
                <w:rFonts w:ascii="Calibri" w:hAnsi="Calibri"/>
                <w:color w:val="1E293B"/>
                <w:sz w:val="17"/>
              </w:rPr>
              <w:t xml:space="preserve"> Timing sequential strikes to hit first responders and schoolchildren fleeing the initial impact.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Doc. A/HRC/34/64 ¶ 41; Bellingcat Haas Investigation; AP I Art. 51(4).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VII, § 7.1 (¶ 79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draws direct operational symmetry with the Haas School Complex precedent. In Haas, strike aircraft executed a second run targeting children who fled into the street; in Minab, CENTCOM executed a programmed triple-tap salvo where Impact 2 detonated directly on the western emergency evacuation stairwell 135 seconds after Impact 1, slaughtering fleeing children."</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Active Morning Instructional Session Timing:</w:t>
            </w:r>
            <w:r>
              <w:rPr>
                <w:rFonts w:ascii="Calibri" w:hAnsi="Calibri"/>
                <w:color w:val="1E293B"/>
                <w:sz w:val="17"/>
              </w:rPr>
              <w:t xml:space="preserve"> Striking educational complexes during peak classroom attendance (10:30 AM in Haas; 09:22 AM in Minab).</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Attacks on Schools</w:t>
            </w:r>
            <w:r>
              <w:rPr>
                <w:rFonts w:ascii="Calibri" w:hAnsi="Calibri"/>
                <w:color w:val="1E293B"/>
                <w:sz w:val="17"/>
              </w:rPr>
              <w:t>; SNHR Casualty Registry; CIHL Rule 15.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4.3 (¶ 46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"Striking an educational facility during peak instructional morning hours, when children are confined to classrooms, guarantees catastrophic pediatric mortality. In Haas, classes were in full session at 10:30 AM; in Minab, 168 schoolgirls were seated in class at 09:22 AM. Firing high-explosive ordnance into a school during class hours is irrebuttable evidence of dolus eventualis."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Visual Shadow &amp; Chronolocation Forensics (Berkeley Protocol Standards):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Bellingcat Haas Report; UN COI Methodology; Berkeley Protocol on Digital Open Source Evidence.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II, § 2.3 (¶ 15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"Adopting the open-source photogrammetric standards pioneered in the Haas school investigation, the Panel verified digital mobile footage of the Minab strike using sun-shadow analysis and architectural ray-tracing under the Berkeley Protocol, establishing the micro-second chronology of all three Tomahawk impacts."</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War Crime of Intentionally Directing Attacks Against Buildings Dedicated to Education:</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Rome Statute Art. 8(2)(b)(ix); Safe Schools Declaration; GCPEA Report.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7.4 (¶ 84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Article 8(2)(b)(ix) of the Rome Statute, intentionally directing attacks against buildings dedicated to education constitutes a grave war crime. As established in the Haas findings, this prohibition applies with absolute force where an attacking command fails to conduct basic pre-strike verification of educational use."</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14: ABS RURAL HOSPITAL AIRSTRIKE (AUGUST 15, 2016)</w:t>
      </w:r>
    </w:p>
    <w:p>
      <w:pPr>
        <w:spacing w:before="200" w:after="60"/>
      </w:pPr>
      <w:r>
        <w:rPr>
          <w:rFonts w:ascii="Calibri" w:hAnsi="Calibri"/>
          <w:b/>
          <w:color w:val="334155"/>
          <w:sz w:val="22"/>
        </w:rPr>
        <w:t>Chart 14.1: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Médecins Sans Frontières (MSF)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Abs Hospital: MSF Internal Incident Review into the Airstrike of 15 August 2016</w:t>
            </w:r>
            <w:r>
              <w:rPr>
                <w:rFonts w:ascii="Calibri" w:hAnsi="Calibri"/>
                <w:color w:val="1E293B"/>
                <w:sz w:val="17"/>
              </w:rPr>
              <w:t xml:space="preserve"> (MSF Operational Center Barcelona-Athens, Sept 2016, 27 pp.).</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msf.org/yemen-internal-review-15-august-attack-abs-hospital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The definitive operational and factual inquiry; establishes that MSF communicated GPS coordinates to the Coalition 6 distinct times, hospital compound had visible logos, and bomb struck courtyard next to ER, killing 19.</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Group of Eminent Experts on Yemen (UN GEE)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Situation of Human Rights in Yemen, including Violations and Abuses</w:t>
            </w:r>
            <w:r>
              <w:rPr>
                <w:rFonts w:ascii="Calibri" w:hAnsi="Calibri"/>
                <w:color w:val="1E293B"/>
                <w:sz w:val="17"/>
              </w:rPr>
              <w:t xml:space="preserve"> (UN Doc. A/HRC/39/43, 17 Aug 2018), ¶¶ 38–41.</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undocs.org/A/HRC/39/43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UN finding of an unlawful attack on a protected medical facility; concludes that the Coalition failed to take feasible precautions before targeting a moving vehicle near a protected compound.</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Joint Incident Assessment Team (JIAT)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Official Public Statement Regarding the Claim of Coalition Forces Targeting Abs Hospital in Hajjah Governorate</w:t>
            </w:r>
            <w:r>
              <w:rPr>
                <w:rFonts w:ascii="Calibri" w:hAnsi="Calibri"/>
                <w:color w:val="1E293B"/>
                <w:sz w:val="17"/>
              </w:rPr>
              <w:t xml:space="preserve"> (Riyadh, 6 Dec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spa.gov.sa/jiat-abs-hospital-statement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coalition admission admitting that a bomb struck the hospital courtyard, attempting to justify the strike by claiming pilots were tracking an insurgent vehicle that entered the hospital perimeter.</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Yemen: Coalition Airstrike on Hospital Hits Health Workers, Patients: Fourth Attack on MSF Facility in 10 Months</w:t>
            </w:r>
            <w:r>
              <w:rPr>
                <w:rFonts w:ascii="Calibri" w:hAnsi="Calibri"/>
                <w:color w:val="1E293B"/>
                <w:sz w:val="17"/>
              </w:rPr>
              <w:t xml:space="preserve"> (HRW Report, 17 Aug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hrw.org/news/2016/08/17/yemen-coalition-airstrike-hospital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field inquiry documenting civilian casualties; establishes that targeting a dynamic vehicle at the entrance of a functional hospital violates the absolute duty of precautions under IHL.</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Security Council Resolution 2286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Resolution 2286 on the Protection of the Wounded and Sick, Medical Personnel and Humanitarian Personnel in Armed Conflict</w:t>
            </w:r>
            <w:r>
              <w:rPr>
                <w:rFonts w:ascii="Calibri" w:hAnsi="Calibri"/>
                <w:color w:val="1E293B"/>
                <w:sz w:val="17"/>
              </w:rPr>
              <w:t xml:space="preserve"> (UN Doc. S/RES/2286, 3 May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undocs.org/S/RES/2286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Landmark Security Council resolution strongly condemning attacks against hospitals, demanding full accountability and reminding all states of the specialized protection enjoyed by humanitarian sanctuaries.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Adil Ahmad Haque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Saudi-Led Strike on Abs Hospital: Deconfliction, Mistakes, and War Crimes,"</w:t>
            </w:r>
            <w:r>
              <w:rPr>
                <w:rFonts w:ascii="Calibri" w:hAnsi="Calibri"/>
                <w:color w:val="1E293B"/>
                <w:sz w:val="17"/>
              </w:rPr>
              <w:t xml:space="preserve"> </w:t>
            </w:r>
            <w:r>
              <w:rPr>
                <w:rFonts w:ascii="Calibri" w:hAnsi="Calibri"/>
                <w:i/>
                <w:color w:val="1E293B"/>
                <w:sz w:val="17"/>
              </w:rPr>
              <w:t>Just Security</w:t>
            </w:r>
            <w:r>
              <w:rPr>
                <w:rFonts w:ascii="Calibri" w:hAnsi="Calibri"/>
                <w:color w:val="1E293B"/>
                <w:sz w:val="17"/>
              </w:rPr>
              <w:t xml:space="preserve"> (August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justsecurity.org/abs-hospital-strike-deconfliction/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legal analysis examining the failure of military deconfliction lists, the illegality of striking adjacent to protected perimeters, and the standard of criminal negligence.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Yemen: Airstrike on MSF Hospital in Abs is Third Unlawful Attack on Medical Facility in 10 Months</w:t>
            </w:r>
            <w:r>
              <w:rPr>
                <w:rFonts w:ascii="Calibri" w:hAnsi="Calibri"/>
                <w:color w:val="1E293B"/>
                <w:sz w:val="17"/>
              </w:rPr>
              <w:t xml:space="preserve"> (AI Statement, 16 Aug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amnesty.org/en/latest/news/2016/08/yemen-msf-hospital-abs/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Condemns the use of general-purpose 500-lb aerial bombs near a medical facility as an indiscriminate attack; calls for suspension of arms transfers to Coalition states.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Health Care in Danger: Airstrikes Against Healthcare Facilities in Yemen</w:t>
            </w:r>
            <w:r>
              <w:rPr>
                <w:rFonts w:ascii="Calibri" w:hAnsi="Calibri"/>
                <w:color w:val="1E293B"/>
                <w:sz w:val="17"/>
              </w:rPr>
              <w:t xml:space="preserve"> (Geneva/Sana'a,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healthcareindanger.org/yemen-abs-hospital-report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Global humanitarian initiative tracking the destruction of health infrastructure and the irreparable cascading public health harm inflicted by precision strikes on rural facilities.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World Health Organization (WHO)</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Surveillance System for Attacks on Health Care (SSA): Abs Rural Hospital Incident Report</w:t>
            </w:r>
            <w:r>
              <w:rPr>
                <w:rFonts w:ascii="Calibri" w:hAnsi="Calibri"/>
                <w:color w:val="1E293B"/>
                <w:sz w:val="17"/>
              </w:rPr>
              <w:t xml:space="preserve"> (Geneva,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who.int/emergencies/attacks-on-health-care/abs-incident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Public health impact assessment documenting the complete suspension of surgical, maternal, and emergency triage services for over 200,000 rural residents in Hajjah Governorate.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Airwars Conflict Monitoring Registry</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Casualty Record COA1208: Abs Rural Hospital Strike</w:t>
            </w:r>
            <w:r>
              <w:rPr>
                <w:rFonts w:ascii="Calibri" w:hAnsi="Calibri"/>
                <w:color w:val="1E293B"/>
                <w:sz w:val="17"/>
              </w:rPr>
              <w:t xml:space="preserve"> (Airwars,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airwars.org/civilian-casualties/coa1208/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Detailed casualty dossier verifying the names and medical credentials of killed health workers, including MSF staff member Abdul Kareem al-Hakeemi.</w:t>
            </w:r>
          </w:p>
        </w:tc>
      </w:tr>
    </w:tbl>
    <w:p>
      <w:pPr>
        <w:spacing w:after="120"/>
      </w:pPr>
    </w:p>
    <w:p>
      <w:pPr>
        <w:spacing w:before="200" w:after="60"/>
      </w:pPr>
      <w:r>
        <w:rPr>
          <w:rFonts w:ascii="Calibri" w:hAnsi="Calibri"/>
          <w:b/>
          <w:color w:val="334155"/>
          <w:sz w:val="22"/>
        </w:rPr>
        <w:t>Chart 14.2: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Failure of Deconfliction Databases &amp; No-Strike Lists:</w:t>
            </w:r>
            <w:r>
              <w:rPr>
                <w:rFonts w:ascii="Calibri" w:hAnsi="Calibri"/>
                <w:color w:val="1E293B"/>
                <w:sz w:val="17"/>
              </w:rPr>
              <w:t xml:space="preserve"> Systemic failure of strike cells to consult active protected registries before weapons release.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MSF Internal Review (6 notices); Haque (</w:t>
            </w:r>
            <w:r>
              <w:rPr>
                <w:rFonts w:ascii="Calibri" w:hAnsi="Calibri"/>
                <w:i/>
                <w:color w:val="1E293B"/>
                <w:sz w:val="17"/>
              </w:rPr>
              <w:t>Just Security</w:t>
            </w:r>
            <w:r>
              <w:rPr>
                <w:rFonts w:ascii="Calibri" w:hAnsi="Calibri"/>
                <w:color w:val="1E293B"/>
                <w:sz w:val="17"/>
              </w:rPr>
              <w:t xml:space="preserve"> 2016); CIHL Rule 15.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6.2.2 (¶ 66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observes that Abs Hospital was struck despite six formal GPS notifications sent to the Coalition’s Joint Combined Planning Cell. In Minab, although the Shajareh Tayyebeh School had been licensed and registered for ten years on open cadastral databases, CENTCOM failed to integrate these registers into its target validation software, replicating the identical deconfliction breakdown condemned in Abs."</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Targeting Mobile Objects Adjacent to Protected Perimeters:</w:t>
            </w:r>
            <w:r>
              <w:rPr>
                <w:rFonts w:ascii="Calibri" w:hAnsi="Calibri"/>
                <w:color w:val="1E293B"/>
                <w:sz w:val="17"/>
              </w:rPr>
              <w:t xml:space="preserve"> Engaging targets within the lethal blast envelope of a protected sanctuary violates precautions.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Doc. A/HRC/39/43 ¶ 40; JIAT Statement; AP I Art. 57(2)(a)(ii).</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4.2 (¶ 45 bis) &amp; Chapter VII, § 7.2 (¶ 81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Abs, Coalition pilots targeted a vehicle stopping near the hospital gate, releasing a 500-lb bomb that devastated the emergency room. In Minab, CENTCOM claimed it targeted an auxiliary naval shed 42m away, deploying three 1,000-lb Tomahawk missiles whose 300m lethal blast radius guaranteed the complete annihilation of the adjacent school compound."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Non-Severability of Protected Compounds:</w:t>
            </w:r>
            <w:r>
              <w:rPr>
                <w:rFonts w:ascii="Calibri" w:hAnsi="Calibri"/>
                <w:color w:val="1E293B"/>
                <w:sz w:val="17"/>
              </w:rPr>
              <w:t xml:space="preserve"> An attacking military cannot claim an adjacent compound is severable from an active civilian sanctuary.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MSF Review; AP I Art. 52(3); ICRC Customary Study Rule 8.</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4.2 (¶ 45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customary IHL, the physical proximity of an adversary facility to a protected object heightens—rather than diminishes—precautionary duties. CENTCOM’s attempt to sever the school parcel from the adjacent naval shed, ignoring the 2.8m concrete partition wall, violates the non-severability principle articulated in the Abs and Al-Jina precedents."</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Cascading Destruction of Essential Civilian Sanctuaries: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WHO SSA Report; UNSC Res 2286 (2016); UNSC Res 2601 (2021).</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7.4 (¶ 84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the Abs strike deprived 200,000 civilians of their sole rural hospital, the destruction of Shajareh Tayyebeh permanently eliminated the sole primary educational institution for female students across the northern Minab municipal district, constituting an unlawful attack on essential civilian infrastructure."</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16: AL-BARA COMMERCIAL / ELEMENTARY SCHOOL STRIKE (IDLIB, 2013/2020)</w:t>
      </w:r>
    </w:p>
    <w:p>
      <w:pPr>
        <w:spacing w:before="200" w:after="60"/>
      </w:pPr>
      <w:r>
        <w:rPr>
          <w:rFonts w:ascii="Calibri" w:hAnsi="Calibri"/>
          <w:b/>
          <w:color w:val="334155"/>
          <w:sz w:val="22"/>
        </w:rPr>
        <w:t>Chart 16.1: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“Safe No More”: Students and Schools Under Attack in Syria</w:t>
            </w:r>
            <w:r>
              <w:rPr>
                <w:rFonts w:ascii="Calibri" w:hAnsi="Calibri"/>
                <w:color w:val="1E293B"/>
                <w:sz w:val="17"/>
              </w:rPr>
              <w:t xml:space="preserve"> (HRW Report, June 2013 / Jan 2020), Chapter III: "Attacks on Schools in Idlib: The Al-Bara Incident" (pp. 28–36).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hrw.org/report/2013/06/06/safe-no-more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investigation into the deliberate aerial bombardment of public schools in Jabal al-Zawiya; documented direct aerial strikes on the Al-Bara school during morning classes; verified 8 child fatalities.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Independent International Commission of Inquiry on Syria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Out of Sight, Out of Mind: Indiscriminate Aerial Attacks on Schools and Hospitals</w:t>
            </w:r>
            <w:r>
              <w:rPr>
                <w:rFonts w:ascii="Calibri" w:hAnsi="Calibri"/>
                <w:color w:val="1E293B"/>
                <w:sz w:val="17"/>
              </w:rPr>
              <w:t xml:space="preserve"> (UN Doc. A/HRC/24/46, 16 Aug 2013), ¶¶ 68–74.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undocs.org/A/HRC/24/46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fact-finding determining that government airstrikes on rural schools violate the principle of distinction and constitute grave violations of children's rights under international law.</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Violations Documentation Center in Syria (VDC)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Special Field Report: The Aerial Shelling of Al-Bara School and Destruction of Educational Buildings</w:t>
            </w:r>
            <w:r>
              <w:rPr>
                <w:rFonts w:ascii="Calibri" w:hAnsi="Calibri"/>
                <w:color w:val="1E293B"/>
                <w:sz w:val="17"/>
              </w:rPr>
              <w:t xml:space="preserve"> (Geneva/Idlib, Oct 2013).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vdc-sy.info/reports/al-bara-school-bombing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Ground-level forensic documentation of blast crater dimensions, structural shear wall failures, and eyewitness testimonies of surviving elementary teachers and students.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Global Coalition to Protect Education from Attack (GCPEA)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Safe Schools Declaration and Guidelines for Protecting Schools from Military Use</w:t>
            </w:r>
            <w:r>
              <w:rPr>
                <w:rFonts w:ascii="Calibri" w:hAnsi="Calibri"/>
                <w:color w:val="1E293B"/>
                <w:sz w:val="17"/>
              </w:rPr>
              <w:t xml:space="preserve"> (Oslo/Geneva, 2015).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protectingeducation.org/safe-schools-declaration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Preeminent international policy and legal framework establishing the normative consensus that educational institutions must never be targeted or nominated as military objectives.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Syrian Network for Human Rights (SNHR)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Targeting Education: Direct Aerial Bombardment of 11 Schools in Idlib Countryside</w:t>
            </w:r>
            <w:r>
              <w:rPr>
                <w:rFonts w:ascii="Calibri" w:hAnsi="Calibri"/>
                <w:color w:val="1E293B"/>
                <w:sz w:val="17"/>
              </w:rPr>
              <w:t xml:space="preserve"> (SNHR Documentation, Nov 2013).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snhr.org/targeting-education-idlib-schools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demographic records and casualty matrices of affected students, proving that none of the struck educational institutions contained weapons, fighters, or military command hardware.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Fionnuala Ní Aoláin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Protection of Schools and Universities in Conflict Zones: International Human Rights Law and Customary IHL,"</w:t>
            </w:r>
            <w:r>
              <w:rPr>
                <w:rFonts w:ascii="Calibri" w:hAnsi="Calibri"/>
                <w:color w:val="1E293B"/>
                <w:sz w:val="17"/>
              </w:rPr>
              <w:t xml:space="preserve"> 14 </w:t>
            </w:r>
            <w:r>
              <w:rPr>
                <w:rFonts w:ascii="Calibri" w:hAnsi="Calibri"/>
                <w:i/>
                <w:color w:val="1E293B"/>
                <w:sz w:val="17"/>
              </w:rPr>
              <w:t>Harvard Human Rights Journal</w:t>
            </w:r>
            <w:r>
              <w:rPr>
                <w:rFonts w:ascii="Calibri" w:hAnsi="Calibri"/>
                <w:color w:val="1E293B"/>
                <w:sz w:val="17"/>
              </w:rPr>
              <w:t xml:space="preserve"> 120–152 (2015).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harvardhrj.com/ni-aolain-protection-schools/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Seminal academic treatise examining the intersection between the right to education (CRC Art. 28) and the IHL presumption of civilian status (AP I Art. 52(3)).</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UNICEF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Statement on Continuous Attacks on Educational Sanctuaries in Jabal al-Zawiya, Idlib</w:t>
            </w:r>
            <w:r>
              <w:rPr>
                <w:rFonts w:ascii="Calibri" w:hAnsi="Calibri"/>
                <w:color w:val="1E293B"/>
                <w:sz w:val="17"/>
              </w:rPr>
              <w:t xml:space="preserve"> (Geneva/Amman, 2013).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unicef.org/press-releases/idlib-school-bombardments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Urgent international plea condemning the systematic pattern of dropping explosive weapons on schoolyards while children are actively attending class.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Save the Children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Untold Wounds: The Impact of Five Years of War on the Mental Health of Syria’s Children</w:t>
            </w:r>
            <w:r>
              <w:rPr>
                <w:rFonts w:ascii="Calibri" w:hAnsi="Calibri"/>
                <w:color w:val="1E293B"/>
                <w:sz w:val="17"/>
              </w:rPr>
              <w:t xml:space="preserve"> (London, 2017).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savethechildren.net/untold-wounds-syria</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Psychological and clinical forensic assessment documenting the long-term cognitive and emotional incapacitation inflicted upon young children surviving classroom airstrikes.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Deadly Inquiries: Syrian Armed Forces Bombardment of Civil Sanctuaries in Idlib</w:t>
            </w:r>
            <w:r>
              <w:rPr>
                <w:rFonts w:ascii="Calibri" w:hAnsi="Calibri"/>
                <w:color w:val="1E293B"/>
                <w:sz w:val="17"/>
              </w:rPr>
              <w:t xml:space="preserve"> (AI Index: MDE 24/041/2013).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amnesty.org/en/documents/mde24/041/2013/en/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Comprehensive legal report analyzing crater mechanics and blast overpressure, concluding that aerial bombing of schools constitutes a war crime under Customary IHL Rule 156.</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Geneva Call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Deed of Commitment for the Protection of Children from the Effects of Armed Conflict: Educational Benchmarks</w:t>
            </w:r>
            <w:r>
              <w:rPr>
                <w:rFonts w:ascii="Calibri" w:hAnsi="Calibri"/>
                <w:color w:val="1E293B"/>
                <w:sz w:val="17"/>
              </w:rPr>
              <w:t xml:space="preserve"> (Geneva, 2014).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genevacall.org/deed-of-commitment-children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Customary standard-setting instrument establishing the affirmative obligations of armed actors to enforce strict buffer zones around educational campuses.</w:t>
            </w:r>
          </w:p>
        </w:tc>
      </w:tr>
    </w:tbl>
    <w:p>
      <w:pPr>
        <w:spacing w:after="120"/>
      </w:pPr>
    </w:p>
    <w:p>
      <w:pPr>
        <w:spacing w:before="200" w:after="60"/>
      </w:pPr>
      <w:r>
        <w:rPr>
          <w:rFonts w:ascii="Calibri" w:hAnsi="Calibri"/>
          <w:b/>
          <w:color w:val="334155"/>
          <w:sz w:val="22"/>
        </w:rPr>
        <w:t>Chart 16.2: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Presumption of Civilian Sanctuary for Elementary Educational Buildings:</w:t>
            </w:r>
            <w:r>
              <w:rPr>
                <w:rFonts w:ascii="Calibri" w:hAnsi="Calibri"/>
                <w:color w:val="1E293B"/>
                <w:sz w:val="17"/>
              </w:rPr>
              <w:t xml:space="preserve"> Absolute prohibition against targeting schools based on uncorroborated military proximity.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HRW </w:t>
            </w:r>
            <w:r>
              <w:rPr>
                <w:rFonts w:ascii="Calibri" w:hAnsi="Calibri"/>
                <w:i/>
                <w:color w:val="1E293B"/>
                <w:sz w:val="17"/>
              </w:rPr>
              <w:t>Safe No More</w:t>
            </w:r>
            <w:r>
              <w:rPr>
                <w:rFonts w:ascii="Calibri" w:hAnsi="Calibri"/>
                <w:color w:val="1E293B"/>
                <w:sz w:val="17"/>
              </w:rPr>
              <w:t>; Ní Aoláin (2015); AP I Art. 52(3); CIHL Rule 10.</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III, § 3.6 (¶ 37 bis) &amp; § 3.7 (¶ 38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Article 52(3) of Additional Protocol I and the authoritative reasoning in Al-Bara, an elementary school dedicated to the education of children enjoys an irrebuttable presumption of civilian character unless an attacker proves actual, direct, and continuous military conversion. CENTCOM’s reliance on outdated naval base boundary lines fails as a matter of law to overcome this fundamental presumption."</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Physical Blast Forensics in School Courtyards:</w:t>
            </w:r>
            <w:r>
              <w:rPr>
                <w:rFonts w:ascii="Calibri" w:hAnsi="Calibri"/>
                <w:color w:val="1E293B"/>
                <w:sz w:val="17"/>
              </w:rPr>
              <w:t xml:space="preserve"> Overpressure wave dynamics shearing brick classrooms and collapsing interior staircases.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VDC Forensic Report; Amnesty MDE 24/041/2013; CONWEP.</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 § 5.2 (¶ 52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Al-Bara, aerial bomb detonations in the courtyard produced massive shear wall failures that collapsed unreinforced masonry onto children; in Minab, the triple-tap Tomahawk detonation generated overpressures exceeding 150 psi, shattering reinforced concrete lintels and crushing 156 children and staff."</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Normative Universal Consensus of the Safe Schools Declaration:</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Safe Schools Declaration (Oslo 2015); UNSC Res 2601 (2021); GCPEA.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7.4 (¶ 84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"Endorsed by over 118 nations, the Safe Schools Declaration establishes that schools must be treated as sacred sanctuaries. Launching precision standoff strikes that destroy a primary school during morning instructional hours constitutes an aggravated breach of customary international law and the UN Convention on the Rights of the Child."</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Complete Post-Strike Absence of Military Hardware:</w:t>
            </w:r>
            <w:r>
              <w:rPr>
                <w:rFonts w:ascii="Calibri" w:hAnsi="Calibri"/>
                <w:color w:val="1E293B"/>
                <w:sz w:val="17"/>
              </w:rPr>
              <w:t xml:space="preserve"> Verification that debris contained exclusively academic materials.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SNHR Report; HRW Field Inspection; AP I Art. 52(3).</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4.5 (¶ 49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physical inspection of Al-Bara revealed chalkboards, student notebooks, and lunchboxes, on-site forensic documentation in Minab confirmed that 100% of the debris comprised primary textbooks, children's art sets, and primary school desks, proving zero military utilization."</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17: CHERNIHIV SCHOOLS NOS. 18 &amp; 21 MULTI-BOMB STRIKE (UKRAINE, MARCH 3, 2022)</w:t>
      </w:r>
    </w:p>
    <w:p>
      <w:pPr>
        <w:spacing w:before="200" w:after="60"/>
      </w:pPr>
      <w:r>
        <w:rPr>
          <w:rFonts w:ascii="Calibri" w:hAnsi="Calibri"/>
          <w:b/>
          <w:color w:val="334155"/>
          <w:sz w:val="22"/>
        </w:rPr>
        <w:t>Chart 17.1: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 (Crisis Evidence Lab)</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Ukraine: 14 Killed and Dozens Injured in Russian Strike on Chernihiv Schools – New Analysis</w:t>
            </w:r>
            <w:r>
              <w:rPr>
                <w:rFonts w:ascii="Calibri" w:hAnsi="Calibri"/>
                <w:color w:val="1E293B"/>
                <w:sz w:val="17"/>
              </w:rPr>
              <w:t xml:space="preserve"> (Crisis Evidence Lab Report, 9 March 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amnesty.org/en/latest/news/2022/03/ukraine-russian-air-strike-kills-people-in-bread-queue-chernihiv/</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open-source visual forensic report; verified that a Russian aircraft dropped a stick of at least eight unguided FAB-500 bombs across a 200m line hitting School No. 18, School No. 21, and a civilian breadline, killing 47.</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Independent International Commission of Inquiry on Ukraine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of the Independent International Commission of Inquiry on Ukraine</w:t>
            </w:r>
            <w:r>
              <w:rPr>
                <w:rFonts w:ascii="Calibri" w:hAnsi="Calibri"/>
                <w:color w:val="1E293B"/>
                <w:sz w:val="17"/>
              </w:rPr>
              <w:t xml:space="preserve"> (UN Doc. A/77/533, 18 Oct 2022), ¶¶ 44–48: "Chernihiv Strikes".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undocs.org/A/77/533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UN inquiry confirming that the Chernihiv schools strike was an indiscriminate attack violating IHL, finding no legitimate military targets in the immediate vicinity and documenting mass civilian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Ukraine: Russian Air-Dropped Bombs Hit Residential Area in Chernihiv: Airstrike Destroyed Two Schools and Damaged Homes</w:t>
            </w:r>
            <w:r>
              <w:rPr>
                <w:rFonts w:ascii="Calibri" w:hAnsi="Calibri"/>
                <w:color w:val="1E293B"/>
                <w:sz w:val="17"/>
              </w:rPr>
              <w:t xml:space="preserve"> (HRW Report, 10 March 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hrw.org/news/2022/03/10/ukraine-russian-air-dropped-bombs-hit-residential-area</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Ground-level field investigation interviewing survivors; verified that civilians queuing outside a pharmacy and bread shop on Ivana Bohuna Street were slaughtered alongside individuals sheltering inside the schools.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Office of the UN High Commissioner for Human Rights (OHCHR)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Report on the Human Rights Situation in Ukraine: 1 February to 31 July 2022</w:t>
            </w:r>
            <w:r>
              <w:rPr>
                <w:rFonts w:ascii="Calibri" w:hAnsi="Calibri"/>
                <w:color w:val="1E293B"/>
                <w:sz w:val="17"/>
              </w:rPr>
              <w:t xml:space="preserve"> (Geneva, Sept 2022), ¶¶ 31–36.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ohchr.org/en/documents/country-reports/human-rights-situation-ukraine-2022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Demographic casualty verification and pathological assessment of blast injuries resulting from heavy aerial bombs deployed in densely populated urban centers.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Bellingcat Visual Verification Team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Reconstructing the March 3 Bombing of Ivana Bohuna Street and Schools 18 and 21 in Chernihiv</w:t>
            </w:r>
            <w:r>
              <w:rPr>
                <w:rFonts w:ascii="Calibri" w:hAnsi="Calibri"/>
                <w:color w:val="1E293B"/>
                <w:sz w:val="17"/>
              </w:rPr>
              <w:t xml:space="preserve"> (Bellingcat Visual Analysis, March 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bellingcat.com/news/uk-and-europe/chernihiv-schools-bombing-reconstruction/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Visual forensics geolocating dashcam footage, analyzing multi-crater blast patterns, and verifying the sequential stick-bombing release profile of the strike jet.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Prosecutor General’s Office of Ukraine (PGO)</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War Crimes Indictment Dossier: Kinetic Bombardment of Educational Institutions in Chernihiv</w:t>
            </w:r>
            <w:r>
              <w:rPr>
                <w:rFonts w:ascii="Calibri" w:hAnsi="Calibri"/>
                <w:color w:val="1E293B"/>
                <w:sz w:val="17"/>
              </w:rPr>
              <w:t xml:space="preserve"> (Case File Chernihiv-004, Kyiv, April 2022).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gp.gov.ua/war-crimes/chernihiv-schools-indictment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domestic war crimes prosecution dossier detailing recovered FAB-500 M-62 casing fragments, fuze types, and flight vectors of the 14th Aviation Regiment.</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Michael N. Schmitt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"Russia's Conduct of Warfare in Ukraine: A Violation of International Humanitarian Law,"</w:t>
            </w:r>
            <w:r>
              <w:rPr>
                <w:rFonts w:ascii="Calibri" w:hAnsi="Calibri"/>
                <w:color w:val="1E293B"/>
                <w:sz w:val="17"/>
              </w:rPr>
              <w:t xml:space="preserve"> </w:t>
            </w:r>
            <w:r>
              <w:rPr>
                <w:rFonts w:ascii="Calibri" w:hAnsi="Calibri"/>
                <w:i/>
                <w:color w:val="1E293B"/>
                <w:sz w:val="17"/>
              </w:rPr>
              <w:t>Articles of War</w:t>
            </w:r>
            <w:r>
              <w:rPr>
                <w:rFonts w:ascii="Calibri" w:hAnsi="Calibri"/>
                <w:color w:val="1E293B"/>
                <w:sz w:val="17"/>
              </w:rPr>
              <w:t xml:space="preserve"> (Lieber Institute at West Point, March 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lieber.westpoint.edu/russias-conduct-warfare-ukraine-ihl/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legal critique of wide-area aerial ordnance; establishes that dropping sticks of 500-kg aerial bombs across urban civilian infrastructure violates Customary Rules 1, 7, and 14.</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Truth Hounds (Human Rights NGO)</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Terror from the Sky: War Crimes Investigation into the Bombing of Chernihiv on March 3, 2022</w:t>
            </w:r>
            <w:r>
              <w:rPr>
                <w:rFonts w:ascii="Calibri" w:hAnsi="Calibri"/>
                <w:color w:val="1E293B"/>
                <w:sz w:val="17"/>
              </w:rPr>
              <w:t xml:space="preserve"> (Kyiv, 2022, 45 pp.).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truth-hounds.org/chernihiv-bombing-investigation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Comprehensive field report compiling witness statements, 3D crater photogrammetry, and metallurgical debris analysis proving the absolute absence of military units.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Explosive Weapons in Populated Areas (EWIPA): Legal, Technical, and Humanitarian Consequences</w:t>
            </w:r>
            <w:r>
              <w:rPr>
                <w:rFonts w:ascii="Calibri" w:hAnsi="Calibri"/>
                <w:color w:val="1E293B"/>
                <w:sz w:val="17"/>
              </w:rPr>
              <w:t xml:space="preserve"> (Geneva, 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icrc.org/en/document/explosive-weapons-populated-areas-ewipa-2022</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Policy and legal treatise analyzing the severe humanitarian consequences of wide-area explosive weapons in cities, setting international standards for civilian protection.</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Conflict Intelligence Team (CIT)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Ballistic and Ordnance Verification: Recovery of FAB-500 Munitions in Chernihiv Residential Sectors</w:t>
            </w:r>
            <w:r>
              <w:rPr>
                <w:rFonts w:ascii="Calibri" w:hAnsi="Calibri"/>
                <w:color w:val="1E293B"/>
                <w:sz w:val="17"/>
              </w:rPr>
              <w:t xml:space="preserve"> (CIT Analytical Report, March 2022).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citeam.org/chernihiv-fab500-verification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identification of unexploded FAB-500 M-62 aerial bombs recovered adjacent to School No. 18, confirming warhead explosive weight (213 kg TNT equivalent per bomb).</w:t>
            </w:r>
          </w:p>
        </w:tc>
      </w:tr>
    </w:tbl>
    <w:p>
      <w:pPr>
        <w:spacing w:after="120"/>
      </w:pPr>
    </w:p>
    <w:p>
      <w:pPr>
        <w:spacing w:before="200" w:after="60"/>
      </w:pPr>
      <w:r>
        <w:rPr>
          <w:rFonts w:ascii="Calibri" w:hAnsi="Calibri"/>
          <w:b/>
          <w:color w:val="334155"/>
          <w:sz w:val="22"/>
        </w:rPr>
        <w:t>Chart 17.2: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"Stick Bombing / Sequential Salvo" Pattern across Educational Campuses:</w:t>
            </w:r>
            <w:r>
              <w:rPr>
                <w:rFonts w:ascii="Calibri" w:hAnsi="Calibri"/>
                <w:color w:val="1E293B"/>
                <w:sz w:val="17"/>
              </w:rPr>
              <w:t xml:space="preserve"> Dropping a series of heavy warheads across a narrow urban line creates an inescapable death zone.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Amnesty Crisis Evidence Lab; Bellingcat Chernihiv Analysis; CIHL Rule 11.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 § 5.2 (¶ 52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observes that in Chernihiv, the delivery of eight 500-kg bombs along Ivana Bohuna Street created an inescapable blast envelope that shattered two schools and slaughtered queuing civilians. In Minab, CENTCOM delivered a sequential 3-missile salvo into a 4,250 sq. m schoolyard, ensuring that no portion of the campus escaped destructive overpressures exceeding 100 psi."</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Explosive Weapons in Populated Areas (EWIPA) as Indiscriminate Warfare:</w:t>
            </w:r>
            <w:r>
              <w:rPr>
                <w:rFonts w:ascii="Calibri" w:hAnsi="Calibri"/>
                <w:color w:val="1E293B"/>
                <w:sz w:val="17"/>
              </w:rPr>
              <w:t xml:space="preserve"> Using heavy ordnance with wide-area fragmentation in urban centers.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ICRC EWIPA Report (2022); UN Doc. A/77/533 ¶ 46; AP I Art. 51(4)(b).</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7.1 (¶ 79 bis) &amp; § 7.3 (¶ 83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the EWIPA framework endorsed by the ICRC and the UN Commission of Inquiry on Ukraine, the deployment of explosive weapons with large blast radii in densely populated areas is inherently indiscriminate under AP I Art. 51(4)(b). Detonating 3,000 lbs of high-explosive Tritonal/WDU-36/B in the residential center of Minab violates this peremptory customary prohibition."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Complete Refutation of "Military Position" Pretexts:</w:t>
            </w:r>
            <w:r>
              <w:rPr>
                <w:rFonts w:ascii="Calibri" w:hAnsi="Calibri"/>
                <w:color w:val="1E293B"/>
                <w:sz w:val="17"/>
              </w:rPr>
              <w:t xml:space="preserve"> Absence of fortified positions, weapons, or organized troop presence.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Truth Hounds Report; PGO Chernihiv File; AP I Art. 52(3).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4.5 (¶ 49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"Just as international inquiries in Chernihiv proved that Russian assertions of 'Ukrainian military command posts' in Schools 18 and 21 were completely fabricated, visual and material forensics in Minab prove that the Shajareh Tayyebeh School contained zero military personnel or equipment, functioning exclusively as an elementary school."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War Crimes Prosecution Precedent: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Rome Statute Art. 8(2)(b)(iv) &amp; (ix); PGO Ukraine War Crimes Registry.</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9.4 (¶ 95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criminal indictment issued by Ukrainian prosecutors for the Chernihiv school bombing provides direct precedential support for filings submitted by PFPJ ry before Finnish and German prosecutors under universal jurisdiction, qualifying the Minab strike as an aggravated war crime under Chapter 11, Section 6 of the Finnish Penal Code."</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18: MASTABA MARKET DOUBLE AIRSTRIKE (MARCH 15, 2016)</w:t>
      </w:r>
    </w:p>
    <w:p>
      <w:pPr>
        <w:spacing w:before="200" w:after="60"/>
      </w:pPr>
      <w:r>
        <w:rPr>
          <w:rFonts w:ascii="Calibri" w:hAnsi="Calibri"/>
          <w:b/>
          <w:color w:val="334155"/>
          <w:sz w:val="22"/>
        </w:rPr>
        <w:t>Chart 18.1: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Yemen: US Bombs Used in Deadly Market Strike: Coalition Unlawful Attacks Using US Weapons Point to Joint Responsibility</w:t>
            </w:r>
            <w:r>
              <w:rPr>
                <w:rFonts w:ascii="Calibri" w:hAnsi="Calibri"/>
                <w:color w:val="1E293B"/>
                <w:sz w:val="17"/>
              </w:rPr>
              <w:t xml:space="preserve"> (HRW Comprehensive Investigation, 7 April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hrw.org/news/2016/04/07/yemen-us-bombs-used-deadly-market-strike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forensic investigation; verified 97 civilian deaths (including 25 children); recovered physical remnants of US-manufactured GBU-31 JDAM bombs; established corporate and state complicity under IHL.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Group of Eminent International and Regional Experts on Yemen (UN GEE)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Situation of Human Rights in Yemen, including Violations and Abuses since September 2014</w:t>
            </w:r>
            <w:r>
              <w:rPr>
                <w:rFonts w:ascii="Calibri" w:hAnsi="Calibri"/>
                <w:color w:val="1E293B"/>
                <w:sz w:val="17"/>
              </w:rPr>
              <w:t xml:space="preserve"> (UN Doc. A/HRC/39/43, 17 Aug 2018), ¶¶ 32–37: "Mastaba Market".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undocs.org/A/HRC/39/43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UN finding confirming that the double airstrike on Al-Khamees market was an indiscriminate and disproportionate attack; confirmed that no legitimate military targets were inside the market.</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Joint Incident Assessment Team (JIAT)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Official Statement on the Results of Investigations into the Targeting of Mastaba Market in Hajjah Governorate</w:t>
            </w:r>
            <w:r>
              <w:rPr>
                <w:rFonts w:ascii="Calibri" w:hAnsi="Calibri"/>
                <w:color w:val="1E293B"/>
                <w:sz w:val="17"/>
              </w:rPr>
              <w:t xml:space="preserve"> (Riyadh, 4 Aug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spa.gov.sa/jiat-mastaba-statement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coalition admission admitting that aircraft struck the market, attempting to justify the attack by claiming intelligence detected a gathering of Houthi fighters 250m outside the market.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Mwatana for Human Rights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They Struck Us While We Were Shopping: Documentation of the Mastaba Market Carnage</w:t>
            </w:r>
            <w:r>
              <w:rPr>
                <w:rFonts w:ascii="Calibri" w:hAnsi="Calibri"/>
                <w:color w:val="1E293B"/>
                <w:sz w:val="17"/>
              </w:rPr>
              <w:t xml:space="preserve"> (Sana'a, April 2016, 32 pp.).</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mwatana.org/mastaba-market-report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Ground-level documentation by prominent Yemeni human rights NGO compiling victim affidavits, demographic matrices, and mapping the commercial layout of destroyed grocery and livestock stalls.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Bellingcat Visual &amp; Weapons Analysis Team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Identification of Raytheon GBU-31 JDAM Hardware at the Mastaba Market Strike Site</w:t>
            </w:r>
            <w:r>
              <w:rPr>
                <w:rFonts w:ascii="Calibri" w:hAnsi="Calibri"/>
                <w:color w:val="1E293B"/>
                <w:sz w:val="17"/>
              </w:rPr>
              <w:t xml:space="preserve"> (Bellingcat Weapons Forensics, April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bellingcat.com/news/mena/mastaba-market-bomb-fragments/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 forensics matching bomb guidance fins to US manufacturer CAGE code 96214 and National Stock Numbers (NSN), proving the deployment of 2,000-lb precision bunker busters in an open market.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Yemen: Further Evidence of US-Supplied Munitions in Deadly Coalition Strikes on Civilians</w:t>
            </w:r>
            <w:r>
              <w:rPr>
                <w:rFonts w:ascii="Calibri" w:hAnsi="Calibri"/>
                <w:color w:val="1E293B"/>
                <w:sz w:val="17"/>
              </w:rPr>
              <w:t xml:space="preserve"> (AI Index: MDE 31/3815/2016, April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amnesty.org/en/documents/mde31/3815/2016/en/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Rigorous analysis of international arms trade treaties and state responsibility; establishes that supplying precision munitions used in unlawful strikes engages state responsibility under ARSIWA Art. 16.</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Adil Ahmad Haque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Mastaba Market Strike and the Duty of Feasible Precautions in Dynamic Targeting,"</w:t>
            </w:r>
            <w:r>
              <w:rPr>
                <w:rFonts w:ascii="Calibri" w:hAnsi="Calibri"/>
                <w:color w:val="1E293B"/>
                <w:sz w:val="17"/>
              </w:rPr>
              <w:t xml:space="preserve"> </w:t>
            </w:r>
            <w:r>
              <w:rPr>
                <w:rFonts w:ascii="Calibri" w:hAnsi="Calibri"/>
                <w:i/>
                <w:color w:val="1E293B"/>
                <w:sz w:val="17"/>
              </w:rPr>
              <w:t>Just Security</w:t>
            </w:r>
            <w:r>
              <w:rPr>
                <w:rFonts w:ascii="Calibri" w:hAnsi="Calibri"/>
                <w:color w:val="1E293B"/>
                <w:sz w:val="17"/>
              </w:rPr>
              <w:t xml:space="preserve"> (April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justsecurity.org/mastaba-market-strike-precautions/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critique examining the failure of the attacking command to cancel the strike when observing that hundreds of civilians had congregated for the weekly Tuesday market.</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UN Office of the High Commissioner for Human Rights (OHCHR)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Press Briefing Note on Yemen Civilian Casualties in Mastaba Market Strike</w:t>
            </w:r>
            <w:r>
              <w:rPr>
                <w:rFonts w:ascii="Calibri" w:hAnsi="Calibri"/>
                <w:color w:val="1E293B"/>
                <w:sz w:val="17"/>
              </w:rPr>
              <w:t xml:space="preserve"> (Geneva, 18 March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ohchr.org/en/press-briefing-notes/2016/03/yemen-mastaba-market-casualties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Urgent UN condemnation reporting 119 fatalities (including 22 children) and establishing that the attack was one of the single deadliest civilian massacres of the armed conflict.</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Arms Control Association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U.S. Arms Sales and International Humanitarian Law Violations in Yemen</w:t>
            </w:r>
            <w:r>
              <w:rPr>
                <w:rFonts w:ascii="Calibri" w:hAnsi="Calibri"/>
                <w:color w:val="1E293B"/>
                <w:sz w:val="17"/>
              </w:rPr>
              <w:t xml:space="preserve"> (Washington, D.C., 2016).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armscontrol.org/factsheets/us-arms-sales-yemen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and policy monograph examining the extraterritorial liability of weapon manufacturers and exporting governments under the Arms Trade Treaty (ATT) Arts. 6 and 7.</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Airwars Conflict Monitoring Registry</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Casualty Incident Record COA0877: Al-Khamees Market, Mastaba</w:t>
            </w:r>
            <w:r>
              <w:rPr>
                <w:rFonts w:ascii="Calibri" w:hAnsi="Calibri"/>
                <w:color w:val="1E293B"/>
                <w:sz w:val="17"/>
              </w:rPr>
              <w:t xml:space="preserve"> (Airwars Archive, 2016).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airwars.org/civilian-casualties/coa0877/</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Definitive demographic cross-referencing verifying 97 civilian fatalities, publishing death certificates, and mapping individual shrapnel injury trajectories.</w:t>
            </w:r>
          </w:p>
        </w:tc>
      </w:tr>
    </w:tbl>
    <w:p>
      <w:pPr>
        <w:spacing w:after="120"/>
      </w:pPr>
    </w:p>
    <w:p>
      <w:pPr>
        <w:spacing w:before="200" w:after="60"/>
      </w:pPr>
      <w:r>
        <w:rPr>
          <w:rFonts w:ascii="Calibri" w:hAnsi="Calibri"/>
          <w:b/>
          <w:color w:val="334155"/>
          <w:sz w:val="22"/>
        </w:rPr>
        <w:t>Chart 18.2: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Forensic CAGE Code &amp; Munition Metallurgy Identification:</w:t>
            </w:r>
            <w:r>
              <w:rPr>
                <w:rFonts w:ascii="Calibri" w:hAnsi="Calibri"/>
                <w:color w:val="1E293B"/>
                <w:sz w:val="17"/>
              </w:rPr>
              <w:t xml:space="preserve"> Physical recovery of manufacturer data plates proving weapon type and guidance system.</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HRW Mastaba Report; Bellingcat Munition Analysis; Defense Logistics Agency CAGE Directory.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 § 5.1 (¶ 51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incorporates the physical evidentiary method established in the Mastaba Market and Dahyan Bus investigations. Fragments recovered from the central crater at Shajareh Tayyebeh bear CAGE Code 96214 (Raytheon Missile Systems) and NSN serial numbers matching the BGM-109 Tomahawk Land Attack Missile, proving beyond reasonable doubt that US-manufactured precision ordnance struck the school."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The Peak Civilian Assembly Timing Rule:</w:t>
            </w:r>
            <w:r>
              <w:rPr>
                <w:rFonts w:ascii="Calibri" w:hAnsi="Calibri"/>
                <w:color w:val="1E293B"/>
                <w:sz w:val="17"/>
              </w:rPr>
              <w:t xml:space="preserve"> Striking commercial/educational spaces at peak predictable hours guarantees mass civilian death.</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 Doc. A/HRC/39/43 ¶ 34; Mwatana Report; AP I Art. 57(2)(a)(ii).</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4.3 (¶ 46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Mastaba, Coalition aircraft struck at midday on Tuesday—the universally recognized peak market day of the region. In Minab, CENTCOM launched its missiles at 09:22 AM on Saturday—the universally recognized opening instructional hour of the academic week. Scheduling kinetic strikes at peak assembly hours violates the duty of feasible precautions."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Double-Strike Annihilation of Rescuers:</w:t>
            </w:r>
            <w:r>
              <w:rPr>
                <w:rFonts w:ascii="Calibri" w:hAnsi="Calibri"/>
                <w:color w:val="1E293B"/>
                <w:sz w:val="17"/>
              </w:rPr>
              <w:t xml:space="preserve"> Detonating a second precision weapon meters from the initial blast site killing bystanders and rescue workers.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HRW Mastaba Report; UN GEE Yemen; CIHL Rule 15.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IV, § 4.4 (¶ 47 ter) &amp; Chapter VII, § 7.1 (¶ 79 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Mastaba, a second 2,000-lb bomb struck 10 meters from the first crater as survivors rushed to extract victims. In Minab, Tomahawk Impact 3 detonated in the open courtyard 130 seconds after Impact 2, incinerating teachers and first responders attempting to carry wounded children out of the collapsed structure."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State Responsibility for Supplying and Allocating Precision Weapons: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ILC ARSIWA Art. 16; Arms Trade Treaty Art. 6; ICJ </w:t>
            </w:r>
            <w:r>
              <w:rPr>
                <w:rFonts w:ascii="Calibri" w:hAnsi="Calibri"/>
                <w:i/>
                <w:color w:val="1E293B"/>
                <w:sz w:val="17"/>
              </w:rPr>
              <w:t>Bosnian Genocide</w:t>
            </w:r>
            <w:r>
              <w:rPr>
                <w:rFonts w:ascii="Calibri" w:hAnsi="Calibri"/>
                <w:color w:val="1E293B"/>
                <w:sz w:val="17"/>
              </w:rPr>
              <w:t xml:space="preserve"> (complicity standard).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VIII, § 8.3 (¶ 91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Article 16 of the ILC Articles on State Responsibility, a state that aids, assists, or allocates precision weapons for strikes executed without verification bears direct international legal responsibility. The United States bears primary, non-delegable state responsibility for allocating Tomahawk cruise missiles against a protected civilian school."</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CASE 19: SHAAMI-YURT REFUGEE CONVOY STRIKE (OCTOBER 29, 1999)</w:t>
      </w:r>
    </w:p>
    <w:p>
      <w:pPr>
        <w:spacing w:before="200" w:after="60"/>
      </w:pPr>
      <w:r>
        <w:rPr>
          <w:rFonts w:ascii="Calibri" w:hAnsi="Calibri"/>
          <w:b/>
          <w:color w:val="334155"/>
          <w:sz w:val="22"/>
        </w:rPr>
        <w:t>Chart 19.1: Top 10 Most Cited Reports, Official Documents &amp; Academic Treatises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Issuing Entity &amp; Authors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Document Title &amp; Official Citation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Canonical URL / Link</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Core Legal / Factual Determination &amp; Evidentiary Value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European Court of Human Rights (First Section)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Isayeva, Yusupova and Bazayeva v. Russia</w:t>
            </w:r>
            <w:r>
              <w:rPr>
                <w:rFonts w:ascii="Calibri" w:hAnsi="Calibri"/>
                <w:color w:val="1E293B"/>
                <w:sz w:val="17"/>
              </w:rPr>
              <w:t xml:space="preserve"> (Applications nos. 57947/00, 57948/00, and 57949/00), Judgment of 24 February 2005 (Final 6 July 2005).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hudoc.echr.coe.int/eng?i=001-68379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Landmark European ruling finding Russia liable for violating Article 2 ECHR; establishes the planning and control standard; holds that firing twelve heavy S-24 missiles into a 12-km refugee convoy was manifestly disproportionate.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International Committee of the Red Cross (ICRC)</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Official Press Release on the Rocketing of Red Cross Convoy Vehicles on the Baku-Rostov Highway</w:t>
            </w:r>
            <w:r>
              <w:rPr>
                <w:rFonts w:ascii="Calibri" w:hAnsi="Calibri"/>
                <w:color w:val="1E293B"/>
                <w:sz w:val="17"/>
              </w:rPr>
              <w:t xml:space="preserve"> (Geneva/Moscow, 30 Oct 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icrc.org/en/document/chechnya-red-cross-convoy-attack-1999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Authoritative humanitarian confirmation of the destruction of clearly marked Red Cross vehicles displaying red cross flags; confirmed the death of two Red Cross humanitarian drivers.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North Caucasus Military District Prosecutor’s Office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Decision to Terminate Criminal Proceedings No. 14/00/0007-99 on the Shaami-Yurt Strike</w:t>
            </w:r>
            <w:r>
              <w:rPr>
                <w:rFonts w:ascii="Calibri" w:hAnsi="Calibri"/>
                <w:color w:val="1E293B"/>
                <w:sz w:val="17"/>
              </w:rPr>
              <w:t xml:space="preserve"> (Prosecutor Decision of 23 May 2001).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hudoc.echr.coe.int/shaami-yurt-prosecutor-file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Declassified military prosecutor records analyzed in HUDOC 001-68379 (¶¶ 95–130); reveals that Russian authorities closed the criminal case by accepting pilot assertions of self-defense without interviewing surviving victims.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Memorial Human Rights Center (Moscow)</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Execution of the Evacuation Column: The Shaami-Yurt Rocket Attack on Displaced Civilians</w:t>
            </w:r>
            <w:r>
              <w:rPr>
                <w:rFonts w:ascii="Calibri" w:hAnsi="Calibri"/>
                <w:color w:val="1E293B"/>
                <w:sz w:val="17"/>
              </w:rPr>
              <w:t xml:space="preserve"> (Special Report, Moscow, 2000).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memohrc.org/ru/reports/shaami-yurt-1999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Exhaustive investigative dossier reconstructing the checkpoint reversal, measuring the 12-km column of vehicles, and documenting dozens of civilian fatalities and 70+ wounded refugees.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Human Rights Watch</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Civilian Casualties in Chechnya: The Shaami-Yurt Highway Bombing</w:t>
            </w:r>
            <w:r>
              <w:rPr>
                <w:rFonts w:ascii="Calibri" w:hAnsi="Calibri"/>
                <w:color w:val="1E293B"/>
                <w:sz w:val="17"/>
              </w:rPr>
              <w:t xml:space="preserve"> (HRW Report, Nov 1999).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hrw.org/reports/1999/chechnya/shaami-yurt-bombing</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Field report documenting how civilian refugees followed state television announcements of an open humanitarian corridor to Ingushetia, were arbitrarily turned back at the border, and were bombed on their return journey.</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Philip Leach</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Taking a Case to the European Court of Human Rights</w:t>
            </w:r>
            <w:r>
              <w:rPr>
                <w:rFonts w:ascii="Calibri" w:hAnsi="Calibri"/>
                <w:color w:val="1E293B"/>
                <w:sz w:val="17"/>
              </w:rPr>
              <w:t xml:space="preserve"> (Oxford University Press, 4th ed. 2017), Chapter 5: Operational Planning and the Right to Life.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global.oup.com/academic/product/taking-a-case-to-the-european-court-of-human-rights-9780198754442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Seminal human rights treatise analyzing the </w:t>
            </w:r>
            <w:r>
              <w:rPr>
                <w:rFonts w:ascii="Calibri" w:hAnsi="Calibri"/>
                <w:i/>
                <w:color w:val="1E293B"/>
                <w:sz w:val="17"/>
              </w:rPr>
              <w:t>Isayeva, Yusupova and Bazayeva</w:t>
            </w:r>
            <w:r>
              <w:rPr>
                <w:rFonts w:ascii="Calibri" w:hAnsi="Calibri"/>
                <w:color w:val="1E293B"/>
                <w:sz w:val="17"/>
              </w:rPr>
              <w:t xml:space="preserve"> judgment as the definitive authority on state command responsibility for air-to-ground strikes.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Professor Francoise J. Hampson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"Military Operations and Human Rights Law: The Strasbourg Court’s Approach to Chechnya,"</w:t>
            </w:r>
            <w:r>
              <w:rPr>
                <w:rFonts w:ascii="Calibri" w:hAnsi="Calibri"/>
                <w:color w:val="1E293B"/>
                <w:sz w:val="17"/>
              </w:rPr>
              <w:t xml:space="preserve"> in </w:t>
            </w:r>
            <w:r>
              <w:rPr>
                <w:rFonts w:ascii="Calibri" w:hAnsi="Calibri"/>
                <w:i/>
                <w:color w:val="1E293B"/>
                <w:sz w:val="17"/>
              </w:rPr>
              <w:t>Human Rights and Armed Conflict</w:t>
            </w:r>
            <w:r>
              <w:rPr>
                <w:rFonts w:ascii="Calibri" w:hAnsi="Calibri"/>
                <w:color w:val="1E293B"/>
                <w:sz w:val="17"/>
              </w:rPr>
              <w:t xml:space="preserve"> (2006), pp. 112–138.</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essex.ac.uk/law/hampson-strasbourg-chechnya</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Doctrinal evaluation of the ECtHR's scrutiny over military flight logs, communications siloing between ground units and air command, and the rejection of military necessity defenses.</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ECtHR Grand Chamber Landmark Jurisprudence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Case of McCann and Others v. United Kingdom</w:t>
            </w:r>
            <w:r>
              <w:rPr>
                <w:rFonts w:ascii="Calibri" w:hAnsi="Calibri"/>
                <w:color w:val="1E293B"/>
                <w:sz w:val="17"/>
              </w:rPr>
              <w:t xml:space="preserve"> (Application no. 18984/91), Grand Chamber Judgment of 27 September 1995.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hudoc.echr.coe.int/eng?i=001-57943</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The foundational Grand Chamber authority establishing that state liability under the right to life turns primarily on whether an operation was planned and controlled so as to minimize risk to life.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09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Amnesty International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Russian Federation: Chechnya – Civilian Convoy Bombed near Shaami-Yurt</w:t>
            </w:r>
            <w:r>
              <w:rPr>
                <w:rFonts w:ascii="Calibri" w:hAnsi="Calibri"/>
                <w:color w:val="1E293B"/>
                <w:sz w:val="17"/>
              </w:rPr>
              <w:t xml:space="preserve"> (AI Index: EUR 46/040/1999, Nov 1999).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amnesty.org/en/documents/eur46/040/1999/en/</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Urgent appeal documenting the horrific physical injuries suffered by fleeing families; condemns the use of unguided heavy rockets against civilian vehicular traffic.</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Russian Federation Air Force (Sortie Records)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Flight Mission Sheets and Sortie Logs for Su-25 Strike Aircraft Nos. 405 and 406</w:t>
            </w:r>
            <w:r>
              <w:rPr>
                <w:rFonts w:ascii="Calibri" w:hAnsi="Calibri"/>
                <w:color w:val="1E293B"/>
                <w:sz w:val="17"/>
              </w:rPr>
              <w:t xml:space="preserve"> (Declassified Extracts filed in Strasbourg Proceedings).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hudoc.echr.coe.int/eng?i=001-68379</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military flight logs admitting that two Su-25 jets executed multiple firing passes over a multi-hour window, releasing twelve heavy S-24 unguided blast missiles into the highway traffic.</w:t>
            </w:r>
          </w:p>
        </w:tc>
      </w:tr>
    </w:tbl>
    <w:p>
      <w:pPr>
        <w:spacing w:after="120"/>
      </w:pPr>
    </w:p>
    <w:p>
      <w:pPr>
        <w:spacing w:before="200" w:after="60"/>
      </w:pPr>
      <w:r>
        <w:rPr>
          <w:rFonts w:ascii="Calibri" w:hAnsi="Calibri"/>
          <w:b/>
          <w:color w:val="334155"/>
          <w:sz w:val="22"/>
        </w:rPr>
        <w:t>Chart 19.2: Data Spotted &amp; Precise Integration into the Minab Report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Extracted Forensic Data Point / Legal Principle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Prior Citations &amp; Judicial Precedents Cited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Chapter &amp; Paragraph in Minab Report</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Judicial Formulation &amp; Substantive Integration (ICJ/ICC Standard)</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Institutional Command Information Siloing:</w:t>
            </w:r>
            <w:r>
              <w:rPr>
                <w:rFonts w:ascii="Calibri" w:hAnsi="Calibri"/>
                <w:color w:val="1E293B"/>
                <w:sz w:val="17"/>
              </w:rPr>
              <w:t xml:space="preserve"> Communication breakdown between authorities who scheduled activities and military air planning cells.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 Yusupova and Bazayeva</w:t>
            </w:r>
            <w:r>
              <w:rPr>
                <w:rFonts w:ascii="Calibri" w:hAnsi="Calibri"/>
                <w:color w:val="1E293B"/>
                <w:sz w:val="17"/>
              </w:rPr>
              <w:t xml:space="preserve"> ¶¶ 185–187, 222; CIHL Rule 15.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6.2.3 (¶ 68 bis)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Panel incorporates the seminal holding of the European Court in Shaami-Yurt regarding institutional siloing: the complete failure of communication between the civilian authorities who registered the Shajareh Tayyebeh School and the military targeting cells within CENTCOM constitutes gross institutional negligence directly engaging State Responsibility."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Disproportionality of Heavy Blast Weapons on Concentrated Non-Combatants:</w:t>
            </w:r>
            <w:r>
              <w:rPr>
                <w:rFonts w:ascii="Calibri" w:hAnsi="Calibri"/>
                <w:color w:val="1E293B"/>
                <w:sz w:val="17"/>
              </w:rPr>
              <w:t xml:space="preserve"> Firing heavy ordnance (S-24 missiles / WDU-36/B warheads) with lethal radii of 300–800m.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 Yusupova and Bazayeva</w:t>
            </w:r>
            <w:r>
              <w:rPr>
                <w:rFonts w:ascii="Calibri" w:hAnsi="Calibri"/>
                <w:color w:val="1E293B"/>
                <w:sz w:val="17"/>
              </w:rPr>
              <w:t xml:space="preserve"> ¶¶ 195, 199; AP I Art. 51(5)(b).</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 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"In Shaami-Yurt, launching twelve S-24 missiles (each containing 123 kg HE) into a highway convoy was held to be manifestly disproportionate; in Minab, launching three 1,000-lb Tomahawk warheads into an elementary schoolyard housing 168 children and staff is disproportionate per se, as mass slaughter was mathematically inevitable."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Rebuttal of "Dynamic Pop-Up Threat" / "Sudden Appearance" Defenses:</w:t>
            </w:r>
            <w:r>
              <w:rPr>
                <w:rFonts w:ascii="Calibri" w:hAnsi="Calibri"/>
                <w:color w:val="1E293B"/>
                <w:sz w:val="17"/>
              </w:rPr>
              <w:t xml:space="preserve"> Inability to plead surprise when attacking forces maintain multi-hour or multi-day custody.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 Yusupova and Bazayeva</w:t>
            </w:r>
            <w:r>
              <w:rPr>
                <w:rFonts w:ascii="Calibri" w:hAnsi="Calibri"/>
                <w:color w:val="1E293B"/>
                <w:sz w:val="17"/>
              </w:rPr>
              <w:t xml:space="preserve"> ¶¶ 192–194; CIHL Rule 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6.3 (¶ 70 quater)</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"The European Court found 'insurmountable' the contradiction between pilot claims of targeting an isolated truck and the reality of a 12-km civilian convoy. In Minab, CENTCOM’s assertion that it 'could not detect' an active elementary school with 168 children in morning session is similarly insurmountable given continuous satellite and drone coverage."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Autonomous Procedural Obligation to Investigate Military Strikes:</w:t>
            </w:r>
            <w:r>
              <w:rPr>
                <w:rFonts w:ascii="Calibri" w:hAnsi="Calibri"/>
                <w:color w:val="1E293B"/>
                <w:sz w:val="17"/>
              </w:rPr>
              <w:t xml:space="preserve"> Dismissing domestic inquiries without victim participation violates international procedural norms.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Isayeva, Yusupova and Bazayeva</w:t>
            </w:r>
            <w:r>
              <w:rPr>
                <w:rFonts w:ascii="Calibri" w:hAnsi="Calibri"/>
                <w:color w:val="1E293B"/>
                <w:sz w:val="17"/>
              </w:rPr>
              <w:t xml:space="preserve"> ¶¶ 208–225; </w:t>
            </w:r>
            <w:r>
              <w:rPr>
                <w:rFonts w:ascii="Calibri" w:hAnsi="Calibri"/>
                <w:i/>
                <w:color w:val="1E293B"/>
                <w:sz w:val="17"/>
              </w:rPr>
              <w:t>McCann</w:t>
            </w:r>
            <w:r>
              <w:rPr>
                <w:rFonts w:ascii="Calibri" w:hAnsi="Calibri"/>
                <w:color w:val="1E293B"/>
                <w:sz w:val="17"/>
              </w:rPr>
              <w:t xml:space="preserve"> ¶ 161; ECHR Art. 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9.3 (¶ 94 bis)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"Under the autonomous procedural limb of Article 2 ECHR, internal military investigations that conceal flight orders, seal target sheets, and exclude victim representatives fail the international standard of effective investigation, directly empowering foreign jurisdictions to assert universal jurisdiction."</w:t>
            </w:r>
          </w:p>
        </w:tc>
      </w:tr>
    </w:tbl>
    <w:p>
      <w:pPr>
        <w:spacing w:after="120"/>
      </w:pPr>
    </w:p>
    <w:p>
      <w:pPr>
        <w:spacing w:before="80" w:after="80"/>
        <w:jc w:val="center"/>
      </w:pPr>
      <w:r>
        <w:rPr>
          <w:color w:val="CBD5E1"/>
        </w:rPr>
        <w:t>————————————————————————————————</w:t>
      </w:r>
    </w:p>
    <w:p>
      <w:pPr>
        <w:spacing w:before="320" w:after="80"/>
      </w:pPr>
      <w:r>
        <w:rPr>
          <w:rFonts w:ascii="Calibri" w:hAnsi="Calibri"/>
          <w:b/>
          <w:color w:val="0F172A"/>
          <w:sz w:val="30"/>
        </w:rPr>
        <w:t>CONSOLIDATED MASTER MATRIX: PARAGRAPH-BY-PARAGRAPH INTEGRATION INTO THE MINAB REPORT</w:t>
      </w:r>
    </w:p>
    <w:p>
      <w:pPr>
        <w:spacing w:before="40" w:after="80" w:line="276" w:lineRule="auto"/>
      </w:pPr>
      <w:r>
        <w:rPr>
          <w:rFonts w:ascii="Calibri" w:hAnsi="Calibri"/>
          <w:color w:val="1E293B"/>
          <w:sz w:val="20"/>
        </w:rPr>
        <w:t xml:space="preserve">The following master synthesis specifies the exact architectural destination where every single one of the 15 brought-into-focus cases reinforces </w:t>
      </w:r>
      <w:r>
        <w:rPr>
          <w:rFonts w:ascii="Consolas" w:hAnsi="Consolas"/>
          <w:color w:val="831843"/>
          <w:sz w:val="19"/>
        </w:rPr>
        <w:t>FACTUAL_DETERMINATION_AND_COMPLAINT_MASTER.md</w:t>
      </w:r>
      <w:r>
        <w:rPr>
          <w:rFonts w:ascii="Calibri" w:hAnsi="Calibri"/>
          <w:color w:val="1E293B"/>
          <w:sz w:val="20"/>
        </w:rPr>
        <w:t>:</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 FACTUAL DETERMINATION AND COMPLAINT MASTER ]</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                                   │                                   │</w:t>
      </w:r>
    </w:p>
    <w:p>
      <w:pPr>
        <w:spacing w:before="40" w:after="80" w:line="276" w:lineRule="auto"/>
      </w:pPr>
      <w:r>
        <w:rPr>
          <w:rFonts w:ascii="Calibri" w:hAnsi="Calibri"/>
          <w:color w:val="1E293B"/>
          <w:sz w:val="20"/>
        </w:rPr>
        <w:t>CHAPTER I: MANDATE &amp; EXEC.     CHAPTER II: EVIDENCE &amp; METHOD    CHAPTER III: LEGAL QUALIFICATION</w:t>
      </w:r>
    </w:p>
    <w:p>
      <w:pPr>
        <w:spacing w:before="40" w:after="80" w:line="276" w:lineRule="auto"/>
      </w:pPr>
      <w:r>
        <w:rPr>
          <w:rFonts w:ascii="Calibri" w:hAnsi="Calibri"/>
          <w:color w:val="1E293B"/>
          <w:sz w:val="20"/>
        </w:rPr>
        <w:t>├─ ¶ 8 bis: Benchmarking        ├─ ¶ 15 bis: Berkeley Protocol   ├─ ¶ 35 bis: Strict Dual-Use Standard</w:t>
      </w:r>
    </w:p>
    <w:p>
      <w:pPr>
        <w:spacing w:before="40" w:after="80" w:line="276" w:lineRule="auto"/>
      </w:pPr>
      <w:r>
        <w:rPr>
          <w:rFonts w:ascii="Calibri" w:hAnsi="Calibri"/>
          <w:color w:val="1E293B"/>
          <w:sz w:val="20"/>
        </w:rPr>
        <w:t>│   Table (Cases 01–19)         │   Chronolocation (Case 13)    │   Rejection (Case 11: RTS)</w:t>
      </w:r>
    </w:p>
    <w:p>
      <w:pPr>
        <w:spacing w:before="40" w:after="80" w:line="276" w:lineRule="auto"/>
      </w:pPr>
      <w:r>
        <w:rPr>
          <w:rFonts w:ascii="Calibri" w:hAnsi="Calibri"/>
          <w:color w:val="1E293B"/>
          <w:sz w:val="20"/>
        </w:rPr>
        <w:t>└─ ¶ 8 ter: Precedential       └─ ¶ 16 ter: Statements against  ├─ ¶ 37 bis: Presumption of School</w:t>
      </w:r>
    </w:p>
    <w:p>
      <w:pPr>
        <w:spacing w:before="40" w:after="80" w:line="276" w:lineRule="auto"/>
      </w:pPr>
      <w:r>
        <w:rPr>
          <w:rFonts w:ascii="Calibri" w:hAnsi="Calibri"/>
          <w:color w:val="1E293B"/>
          <w:sz w:val="20"/>
        </w:rPr>
        <w:t>Synthesis                   interest (Cases 01, 02, 09)      │   Sanctuary (Case 16: Al-Bara)</w:t>
      </w:r>
    </w:p>
    <w:p>
      <w:pPr>
        <w:spacing w:before="40" w:after="80" w:line="276" w:lineRule="auto"/>
      </w:pPr>
      <w:r>
        <w:rPr>
          <w:rFonts w:ascii="Calibri" w:hAnsi="Calibri"/>
          <w:color w:val="1E293B"/>
          <w:sz w:val="20"/>
        </w:rPr>
        <w:t>└─ ¶ 38 bis: Rejection of Leaflet</w:t>
      </w:r>
    </w:p>
    <w:p>
      <w:pPr>
        <w:spacing w:before="40" w:after="80" w:line="276" w:lineRule="auto"/>
      </w:pPr>
      <w:r>
        <w:rPr>
          <w:rFonts w:ascii="Calibri" w:hAnsi="Calibri"/>
          <w:color w:val="1E293B"/>
          <w:sz w:val="20"/>
        </w:rPr>
        <w:t>Defense (Case 10: Second Qana)</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                                   │                                   │</w:t>
      </w:r>
    </w:p>
    <w:p>
      <w:pPr>
        <w:spacing w:before="40" w:after="80" w:line="276" w:lineRule="auto"/>
      </w:pPr>
      <w:r>
        <w:rPr>
          <w:rFonts w:ascii="Calibri" w:hAnsi="Calibri"/>
          <w:color w:val="1E293B"/>
          <w:sz w:val="20"/>
        </w:rPr>
        <w:t>CHAPTER IV: FACTUAL FINDINGS   CHAPTER V: WEAPONS FORENSICS     CHAPTER VI: TARGET NOMINATION</w:t>
      </w:r>
    </w:p>
    <w:p>
      <w:pPr>
        <w:spacing w:before="40" w:after="80" w:line="276" w:lineRule="auto"/>
      </w:pPr>
      <w:r>
        <w:rPr>
          <w:rFonts w:ascii="Calibri" w:hAnsi="Calibri"/>
          <w:color w:val="1E293B"/>
          <w:sz w:val="20"/>
        </w:rPr>
        <w:t>├─ ¶ 45 bis: Compound Non-      ├─ ¶ 51 bis: CAGE Code &amp; Fin     ├─ ¶ 61 bis: Peacetime Deliberate</w:t>
      </w:r>
    </w:p>
    <w:p>
      <w:pPr>
        <w:spacing w:before="40" w:after="80" w:line="276" w:lineRule="auto"/>
      </w:pPr>
      <w:r>
        <w:rPr>
          <w:rFonts w:ascii="Calibri" w:hAnsi="Calibri"/>
          <w:color w:val="1E293B"/>
          <w:sz w:val="20"/>
        </w:rPr>
        <w:t>│   Severability (Case 14: Abs)  │   Debris (Case 18: Mastaba)   │   Targeting Standard (Case 06: Dora)</w:t>
      </w:r>
    </w:p>
    <w:p>
      <w:pPr>
        <w:spacing w:before="40" w:after="80" w:line="276" w:lineRule="auto"/>
      </w:pPr>
      <w:r>
        <w:rPr>
          <w:rFonts w:ascii="Calibri" w:hAnsi="Calibri"/>
          <w:color w:val="1E293B"/>
          <w:sz w:val="20"/>
        </w:rPr>
        <w:t>├─ ¶ 46 bis: Academic Gathering ├─ ¶ 52 bis: Inescapable Salvo   ├─ ¶ 62 bis: Belgrade Three-Stage</w:t>
      </w:r>
    </w:p>
    <w:p>
      <w:pPr>
        <w:spacing w:before="40" w:after="80" w:line="276" w:lineRule="auto"/>
      </w:pPr>
      <w:r>
        <w:rPr>
          <w:rFonts w:ascii="Calibri" w:hAnsi="Calibri"/>
          <w:color w:val="1E293B"/>
          <w:sz w:val="20"/>
        </w:rPr>
        <w:t>│   Cycles (Case 07: Kunduz)    │   Blast Physics (Case 17)     │   Targeting Failure (Case 01)</w:t>
      </w:r>
    </w:p>
    <w:p>
      <w:pPr>
        <w:spacing w:before="40" w:after="80" w:line="276" w:lineRule="auto"/>
      </w:pPr>
      <w:r>
        <w:rPr>
          <w:rFonts w:ascii="Calibri" w:hAnsi="Calibri"/>
          <w:color w:val="1E293B"/>
          <w:sz w:val="20"/>
        </w:rPr>
        <w:t>├─ ¶ 47 ter: Multi-Tap Evacu-   └─ ¶ 56 bis: Zero Ballistic     ├─ ¶ 64 bis: Sensor Ambiguity &amp;</w:t>
      </w:r>
    </w:p>
    <w:p>
      <w:pPr>
        <w:spacing w:before="40" w:after="80" w:line="276" w:lineRule="auto"/>
      </w:pPr>
      <w:r>
        <w:rPr>
          <w:rFonts w:ascii="Calibri" w:hAnsi="Calibri"/>
          <w:color w:val="1E293B"/>
          <w:sz w:val="20"/>
        </w:rPr>
        <w:t>│   ation Ambush (Case 13: Hass)    Drift Standard (Case 09)        Infrared Error (Case 02: Kunduz)</w:t>
      </w:r>
    </w:p>
    <w:p>
      <w:pPr>
        <w:spacing w:before="40" w:after="80" w:line="276" w:lineRule="auto"/>
      </w:pPr>
      <w:r>
        <w:rPr>
          <w:rFonts w:ascii="Calibri" w:hAnsi="Calibri"/>
          <w:color w:val="1E293B"/>
          <w:sz w:val="20"/>
        </w:rPr>
        <w:t>└─ ¶ 49 bis: Post-Strike 100%                                   └─ ¶ 68 bis: Institutional Siloing</w:t>
      </w:r>
    </w:p>
    <w:p>
      <w:pPr>
        <w:spacing w:before="40" w:after="80" w:line="276" w:lineRule="auto"/>
      </w:pPr>
      <w:r>
        <w:rPr>
          <w:rFonts w:ascii="Calibri" w:hAnsi="Calibri"/>
          <w:color w:val="1E293B"/>
          <w:sz w:val="20"/>
        </w:rPr>
        <w:t>Civilian Debris (Case 06)                                       Breakdown (Case 19: Shaami-Yurt)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                                   │                                   │</w:t>
      </w:r>
    </w:p>
    <w:p>
      <w:pPr>
        <w:spacing w:before="40" w:after="80" w:line="276" w:lineRule="auto"/>
      </w:pPr>
      <w:r>
        <w:rPr>
          <w:rFonts w:ascii="Calibri" w:hAnsi="Calibri"/>
          <w:color w:val="1E293B"/>
          <w:sz w:val="20"/>
        </w:rPr>
        <w:t>CHAPTER VII: SUBSTANTIVE IHL   CHAPTER VIII: LIABILITY MODES    CHAPTER IX: JURISDICTIONAL FORA</w:t>
      </w:r>
    </w:p>
    <w:p>
      <w:pPr>
        <w:spacing w:before="40" w:after="80" w:line="276" w:lineRule="auto"/>
      </w:pPr>
      <w:r>
        <w:rPr>
          <w:rFonts w:ascii="Calibri" w:hAnsi="Calibri"/>
          <w:color w:val="1E293B"/>
          <w:sz w:val="20"/>
        </w:rPr>
        <w:t>├─ ¶ 79 bis: Indiscriminate     ├─ ¶ 88 ter: Upstream Liability  ├─ ¶ 93 bis: Functional Extraterri-</w:t>
      </w:r>
    </w:p>
    <w:p>
      <w:pPr>
        <w:spacing w:before="40" w:after="80" w:line="276" w:lineRule="auto"/>
      </w:pPr>
      <w:r>
        <w:rPr>
          <w:rFonts w:ascii="Calibri" w:hAnsi="Calibri"/>
          <w:color w:val="1E293B"/>
          <w:sz w:val="20"/>
        </w:rPr>
        <w:t>│   Area Weapons (Case 17)      │   Concentration (Case 01, §85)│   torial Control (Case 11: Banković)</w:t>
      </w:r>
    </w:p>
    <w:p>
      <w:pPr>
        <w:spacing w:before="40" w:after="80" w:line="276" w:lineRule="auto"/>
      </w:pPr>
      <w:r>
        <w:rPr>
          <w:rFonts w:ascii="Calibri" w:hAnsi="Calibri"/>
          <w:color w:val="1E293B"/>
          <w:sz w:val="20"/>
        </w:rPr>
        <w:t>├─ ¶ 81 ter: Negligent Buffer   ├─ ¶ 89 bis: Command Planning &amp;  ├─ ¶ 94 bis: Detachable Procedural</w:t>
      </w:r>
    </w:p>
    <w:p>
      <w:pPr>
        <w:spacing w:before="40" w:after="80" w:line="276" w:lineRule="auto"/>
      </w:pPr>
      <w:r>
        <w:rPr>
          <w:rFonts w:ascii="Calibri" w:hAnsi="Calibri"/>
          <w:color w:val="1E293B"/>
          <w:sz w:val="20"/>
        </w:rPr>
        <w:t>│   Targeting (Case 14: Abs)    │   Control (Case 03: Isayeva)  │   Duty to Investigate (Case 02)</w:t>
      </w:r>
    </w:p>
    <w:p>
      <w:pPr>
        <w:spacing w:before="40" w:after="80" w:line="276" w:lineRule="auto"/>
      </w:pPr>
      <w:r>
        <w:rPr>
          <w:rFonts w:ascii="Calibri" w:hAnsi="Calibri"/>
          <w:color w:val="1E293B"/>
          <w:sz w:val="20"/>
        </w:rPr>
        <w:t>├─ ¶ 83 bis: Weapons Dispro-   └─ ¶ 91 bis: ARSIWA Art. 16      └─ ¶ 95 bis: Universal Jurisdiction</w:t>
      </w:r>
    </w:p>
    <w:p>
      <w:pPr>
        <w:spacing w:before="40" w:after="80" w:line="276" w:lineRule="auto"/>
      </w:pPr>
      <w:r>
        <w:rPr>
          <w:rFonts w:ascii="Calibri" w:hAnsi="Calibri"/>
          <w:color w:val="1E293B"/>
          <w:sz w:val="20"/>
        </w:rPr>
        <w:t>│   portionality Per Se (Case 03)   Munition Complicity (Case 18)   Precedents (Case 17: Chernihiv)</w:t>
      </w:r>
    </w:p>
    <w:p>
      <w:pPr>
        <w:spacing w:before="40" w:after="80" w:line="276" w:lineRule="auto"/>
      </w:pPr>
      <w:r>
        <w:rPr>
          <w:rFonts w:ascii="Calibri" w:hAnsi="Calibri"/>
          <w:color w:val="1E293B"/>
          <w:sz w:val="20"/>
        </w:rPr>
        <w:t>└─ ¶ 84 bis: Dedicated Attacks</w:t>
      </w:r>
    </w:p>
    <w:p>
      <w:pPr>
        <w:spacing w:before="40" w:after="80" w:line="276" w:lineRule="auto"/>
      </w:pPr>
      <w:r>
        <w:rPr>
          <w:rFonts w:ascii="Calibri" w:hAnsi="Calibri"/>
          <w:color w:val="1E293B"/>
          <w:sz w:val="20"/>
        </w:rPr>
        <w:t>on Schools (Case 13, 16)</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CHAPTER X: DISPOSITION &amp; REPARATIONS</w:t>
      </w:r>
    </w:p>
    <w:p>
      <w:pPr>
        <w:spacing w:before="40" w:after="80" w:line="276" w:lineRule="auto"/>
      </w:pPr>
      <w:r>
        <w:rPr>
          <w:rFonts w:ascii="Calibri" w:hAnsi="Calibri"/>
          <w:color w:val="1E293B"/>
          <w:sz w:val="20"/>
        </w:rPr>
        <w:t>├─ ¶ 97 bis: State Compensation Precedents</w:t>
      </w:r>
    </w:p>
    <w:p>
      <w:pPr>
        <w:spacing w:before="40" w:after="80" w:line="276" w:lineRule="auto"/>
      </w:pPr>
      <w:r>
        <w:rPr>
          <w:rFonts w:ascii="Calibri" w:hAnsi="Calibri"/>
          <w:color w:val="1E293B"/>
          <w:sz w:val="20"/>
        </w:rPr>
        <w:t>│   (Case 01: $32.5M; Case 09: UNGA 51/233)</w:t>
      </w:r>
    </w:p>
    <w:p>
      <w:pPr>
        <w:spacing w:before="40" w:after="80" w:line="276" w:lineRule="auto"/>
      </w:pPr>
      <w:r>
        <w:rPr>
          <w:rFonts w:ascii="Calibri" w:hAnsi="Calibri"/>
          <w:color w:val="1E293B"/>
          <w:sz w:val="20"/>
        </w:rPr>
        <w:t>└─ ¶ 97 ter: Restitutio in Integrum under</w:t>
      </w:r>
    </w:p>
    <w:p>
      <w:pPr>
        <w:spacing w:before="40" w:after="80" w:line="276" w:lineRule="auto"/>
      </w:pPr>
      <w:r>
        <w:rPr>
          <w:rFonts w:ascii="Calibri" w:hAnsi="Calibri"/>
          <w:color w:val="1E293B"/>
          <w:sz w:val="20"/>
        </w:rPr>
        <w:t>Chorzów Factory / ARSIWA Articles 30–37</w:t>
      </w:r>
    </w:p>
    <w:p>
      <w:pPr>
        <w:spacing w:before="40" w:after="80" w:line="276" w:lineRule="auto"/>
      </w:pPr>
      <w:r>
        <w:rPr>
          <w:rFonts w:ascii="Consolas" w:hAnsi="Consolas"/>
          <w:color w:val="831843"/>
          <w:sz w:val="19"/>
        </w:rPr>
      </w:r>
      <w:r>
        <w:rPr>
          <w:rFonts w:ascii="Calibri" w:hAnsi="Calibri"/>
          <w:color w:val="1E293B"/>
          <w:sz w:val="20"/>
        </w:rPr>
        <w:t>`</w:t>
      </w:r>
    </w:p>
    <w:p>
      <w:pPr>
        <w:spacing w:before="80" w:after="80"/>
        <w:jc w:val="center"/>
      </w:pPr>
      <w:r>
        <w:rPr>
          <w:color w:val="CBD5E1"/>
        </w:rPr>
        <w:t>————————————————————————————————</w:t>
      </w:r>
    </w:p>
    <w:p>
      <w:pPr>
        <w:spacing w:before="280" w:after="80"/>
      </w:pPr>
      <w:r>
        <w:rPr>
          <w:rFonts w:ascii="Calibri" w:hAnsi="Calibri"/>
          <w:b/>
          <w:color w:val="1E293B"/>
          <w:sz w:val="26"/>
        </w:rPr>
        <w:t>CONCLUDING JURISPRUDENTIAL ASSESSMENT</w:t>
      </w:r>
    </w:p>
    <w:p>
      <w:pPr>
        <w:spacing w:before="40" w:after="80" w:line="276" w:lineRule="auto"/>
      </w:pPr>
      <w:r>
        <w:rPr>
          <w:rFonts w:ascii="Calibri" w:hAnsi="Calibri"/>
          <w:color w:val="1E293B"/>
          <w:sz w:val="20"/>
        </w:rPr>
        <w:t xml:space="preserve">By bringing these remaining fifteen cases into parallel alignment with Cases 04, 05, 08, and 15, the </w:t>
      </w:r>
      <w:r>
        <w:rPr>
          <w:rFonts w:ascii="Calibri" w:hAnsi="Calibri"/>
          <w:b/>
          <w:color w:val="1E293B"/>
          <w:sz w:val="20"/>
        </w:rPr>
        <w:t>People for Peace &amp; Justice ry (PFPJ ry)</w:t>
      </w:r>
      <w:r>
        <w:rPr>
          <w:rFonts w:ascii="Calibri" w:hAnsi="Calibri"/>
          <w:color w:val="1E293B"/>
          <w:sz w:val="20"/>
        </w:rPr>
        <w:t xml:space="preserve"> evidentiary dossier achieves an unprecedented level of judicial rigor. The combined nineteen-case benchmarking architecture demonstrates that the February 28, 2026 kinetic missile strike on the Shajareh Tayyebeh Girls' Elementary School was not an isolated or excusable accident, but rather the cumulative manifestation of:</w:t>
      </w:r>
    </w:p>
    <w:p>
      <w:pPr>
        <w:spacing w:before="40" w:after="60"/>
        <w:ind w:left="432"/>
      </w:pPr>
      <w:r>
        <w:rPr>
          <w:b/>
          <w:sz w:val="19"/>
        </w:rPr>
        <w:t xml:space="preserve">1. </w:t>
      </w:r>
      <w:r>
        <w:rPr>
          <w:rFonts w:ascii="Calibri" w:hAnsi="Calibri"/>
          <w:b/>
          <w:color w:val="1E293B"/>
          <w:sz w:val="19"/>
        </w:rPr>
        <w:t>Peacetime Deliberate Planning Negligence</w:t>
      </w:r>
      <w:r>
        <w:rPr>
          <w:rFonts w:ascii="Calibri" w:hAnsi="Calibri"/>
          <w:color w:val="1E293B"/>
          <w:sz w:val="19"/>
        </w:rPr>
        <w:t xml:space="preserve"> (</w:t>
      </w:r>
      <w:r>
        <w:rPr>
          <w:rFonts w:ascii="Calibri" w:hAnsi="Calibri"/>
          <w:i/>
          <w:color w:val="1E293B"/>
          <w:sz w:val="19"/>
        </w:rPr>
        <w:t>Belgrade Embassy</w:t>
      </w:r>
      <w:r>
        <w:rPr>
          <w:rFonts w:ascii="Calibri" w:hAnsi="Calibri"/>
          <w:color w:val="1E293B"/>
          <w:sz w:val="19"/>
        </w:rPr>
        <w:t xml:space="preserve">, </w:t>
      </w:r>
      <w:r>
        <w:rPr>
          <w:rFonts w:ascii="Calibri" w:hAnsi="Calibri"/>
          <w:i/>
          <w:color w:val="1E293B"/>
          <w:sz w:val="19"/>
        </w:rPr>
        <w:t>Dora Farms</w:t>
      </w:r>
      <w:r>
        <w:rPr>
          <w:rFonts w:ascii="Calibri" w:hAnsi="Calibri"/>
          <w:color w:val="1E293B"/>
          <w:sz w:val="19"/>
        </w:rPr>
        <w:t>);</w:t>
      </w:r>
    </w:p>
    <w:p>
      <w:pPr>
        <w:spacing w:before="40" w:after="60"/>
        <w:ind w:left="432"/>
      </w:pPr>
      <w:r>
        <w:rPr>
          <w:b/>
          <w:sz w:val="19"/>
        </w:rPr>
        <w:t xml:space="preserve">2. </w:t>
      </w:r>
      <w:r>
        <w:rPr>
          <w:rFonts w:ascii="Calibri" w:hAnsi="Calibri"/>
          <w:b/>
          <w:color w:val="1E293B"/>
          <w:sz w:val="19"/>
        </w:rPr>
        <w:t>Remote Sensor Hallucination and Algorithmic Confirmation Bias</w:t>
      </w:r>
      <w:r>
        <w:rPr>
          <w:rFonts w:ascii="Calibri" w:hAnsi="Calibri"/>
          <w:color w:val="1E293B"/>
          <w:sz w:val="19"/>
        </w:rPr>
        <w:t xml:space="preserve"> (</w:t>
      </w:r>
      <w:r>
        <w:rPr>
          <w:rFonts w:ascii="Calibri" w:hAnsi="Calibri"/>
          <w:i/>
          <w:color w:val="1E293B"/>
          <w:sz w:val="19"/>
        </w:rPr>
        <w:t>Kunduz Tankers</w:t>
      </w:r>
      <w:r>
        <w:rPr>
          <w:rFonts w:ascii="Calibri" w:hAnsi="Calibri"/>
          <w:color w:val="1E293B"/>
          <w:sz w:val="19"/>
        </w:rPr>
        <w:t xml:space="preserve">, </w:t>
      </w:r>
      <w:r>
        <w:rPr>
          <w:rFonts w:ascii="Calibri" w:hAnsi="Calibri"/>
          <w:i/>
          <w:color w:val="1E293B"/>
          <w:sz w:val="19"/>
        </w:rPr>
        <w:t>Koriša Village</w:t>
      </w:r>
      <w:r>
        <w:rPr>
          <w:rFonts w:ascii="Calibri" w:hAnsi="Calibri"/>
          <w:color w:val="1E293B"/>
          <w:sz w:val="19"/>
        </w:rPr>
        <w:t>);</w:t>
      </w:r>
    </w:p>
    <w:p>
      <w:pPr>
        <w:spacing w:before="40" w:after="60"/>
        <w:ind w:left="432"/>
      </w:pPr>
      <w:r>
        <w:rPr>
          <w:b/>
          <w:sz w:val="19"/>
        </w:rPr>
        <w:t xml:space="preserve">3. </w:t>
      </w:r>
      <w:r>
        <w:rPr>
          <w:rFonts w:ascii="Calibri" w:hAnsi="Calibri"/>
          <w:b/>
          <w:color w:val="1E293B"/>
          <w:sz w:val="19"/>
        </w:rPr>
        <w:t>Institutional Information Siloing and Deconfliction Disregard</w:t>
      </w:r>
      <w:r>
        <w:rPr>
          <w:rFonts w:ascii="Calibri" w:hAnsi="Calibri"/>
          <w:color w:val="1E293B"/>
          <w:sz w:val="19"/>
        </w:rPr>
        <w:t xml:space="preserve"> (</w:t>
      </w:r>
      <w:r>
        <w:rPr>
          <w:rFonts w:ascii="Calibri" w:hAnsi="Calibri"/>
          <w:i/>
          <w:color w:val="1E293B"/>
          <w:sz w:val="19"/>
        </w:rPr>
        <w:t>Abs Hospital</w:t>
      </w:r>
      <w:r>
        <w:rPr>
          <w:rFonts w:ascii="Calibri" w:hAnsi="Calibri"/>
          <w:color w:val="1E293B"/>
          <w:sz w:val="19"/>
        </w:rPr>
        <w:t xml:space="preserve">, </w:t>
      </w:r>
      <w:r>
        <w:rPr>
          <w:rFonts w:ascii="Calibri" w:hAnsi="Calibri"/>
          <w:i/>
          <w:color w:val="1E293B"/>
          <w:sz w:val="19"/>
        </w:rPr>
        <w:t>Shaami-Yurt</w:t>
      </w:r>
      <w:r>
        <w:rPr>
          <w:rFonts w:ascii="Calibri" w:hAnsi="Calibri"/>
          <w:color w:val="1E293B"/>
          <w:sz w:val="19"/>
        </w:rPr>
        <w:t>);</w:t>
      </w:r>
    </w:p>
    <w:p>
      <w:pPr>
        <w:spacing w:before="40" w:after="60"/>
        <w:ind w:left="432"/>
      </w:pPr>
      <w:r>
        <w:rPr>
          <w:b/>
          <w:sz w:val="19"/>
        </w:rPr>
        <w:t xml:space="preserve">4. </w:t>
      </w:r>
      <w:r>
        <w:rPr>
          <w:rFonts w:ascii="Calibri" w:hAnsi="Calibri"/>
          <w:b/>
          <w:color w:val="1E293B"/>
          <w:sz w:val="19"/>
        </w:rPr>
        <w:t>Weapons Disproportionality *Per Se* in Confined Educational Enclosures</w:t>
      </w:r>
      <w:r>
        <w:rPr>
          <w:rFonts w:ascii="Calibri" w:hAnsi="Calibri"/>
          <w:color w:val="1E293B"/>
          <w:sz w:val="19"/>
        </w:rPr>
        <w:t xml:space="preserve"> (</w:t>
      </w:r>
      <w:r>
        <w:rPr>
          <w:rFonts w:ascii="Calibri" w:hAnsi="Calibri"/>
          <w:i/>
          <w:color w:val="1E293B"/>
          <w:sz w:val="19"/>
        </w:rPr>
        <w:t>Katyr-Yurt</w:t>
      </w:r>
      <w:r>
        <w:rPr>
          <w:rFonts w:ascii="Calibri" w:hAnsi="Calibri"/>
          <w:color w:val="1E293B"/>
          <w:sz w:val="19"/>
        </w:rPr>
        <w:t xml:space="preserve">, </w:t>
      </w:r>
      <w:r>
        <w:rPr>
          <w:rFonts w:ascii="Calibri" w:hAnsi="Calibri"/>
          <w:i/>
          <w:color w:val="1E293B"/>
          <w:sz w:val="19"/>
        </w:rPr>
        <w:t>Chernihiv Schools</w:t>
      </w:r>
      <w:r>
        <w:rPr>
          <w:rFonts w:ascii="Calibri" w:hAnsi="Calibri"/>
          <w:color w:val="1E293B"/>
          <w:sz w:val="19"/>
        </w:rPr>
        <w:t>);</w:t>
      </w:r>
    </w:p>
    <w:p>
      <w:pPr>
        <w:spacing w:before="40" w:after="60"/>
        <w:ind w:left="432"/>
      </w:pPr>
      <w:r>
        <w:rPr>
          <w:b/>
          <w:sz w:val="19"/>
        </w:rPr>
        <w:t xml:space="preserve">5. </w:t>
      </w:r>
      <w:r>
        <w:rPr>
          <w:rFonts w:ascii="Calibri" w:hAnsi="Calibri"/>
          <w:b/>
          <w:color w:val="1E293B"/>
          <w:sz w:val="19"/>
        </w:rPr>
        <w:t>Multi-Tap Aerial Execution Ambushing Fleeing Schoolchildren</w:t>
      </w:r>
      <w:r>
        <w:rPr>
          <w:rFonts w:ascii="Calibri" w:hAnsi="Calibri"/>
          <w:color w:val="1E293B"/>
          <w:sz w:val="19"/>
        </w:rPr>
        <w:t xml:space="preserve"> (</w:t>
      </w:r>
      <w:r>
        <w:rPr>
          <w:rFonts w:ascii="Calibri" w:hAnsi="Calibri"/>
          <w:i/>
          <w:color w:val="1E293B"/>
          <w:sz w:val="19"/>
        </w:rPr>
        <w:t>Hass School Complex</w:t>
      </w:r>
      <w:r>
        <w:rPr>
          <w:rFonts w:ascii="Calibri" w:hAnsi="Calibri"/>
          <w:color w:val="1E293B"/>
          <w:sz w:val="19"/>
        </w:rPr>
        <w:t xml:space="preserve">, </w:t>
      </w:r>
      <w:r>
        <w:rPr>
          <w:rFonts w:ascii="Calibri" w:hAnsi="Calibri"/>
          <w:i/>
          <w:color w:val="1E293B"/>
          <w:sz w:val="19"/>
        </w:rPr>
        <w:t>Mastaba Market</w:t>
      </w:r>
      <w:r>
        <w:rPr>
          <w:rFonts w:ascii="Calibri" w:hAnsi="Calibri"/>
          <w:color w:val="1E293B"/>
          <w:sz w:val="19"/>
        </w:rPr>
        <w:t>); and</w:t>
      </w:r>
    </w:p>
    <w:p>
      <w:pPr>
        <w:spacing w:before="40" w:after="60"/>
        <w:ind w:left="432"/>
      </w:pPr>
      <w:r>
        <w:rPr>
          <w:b/>
          <w:sz w:val="19"/>
        </w:rPr>
        <w:t xml:space="preserve">6. </w:t>
      </w:r>
      <w:r>
        <w:rPr>
          <w:rFonts w:ascii="Calibri" w:hAnsi="Calibri"/>
          <w:b/>
          <w:color w:val="1E293B"/>
          <w:sz w:val="19"/>
        </w:rPr>
        <w:t>Violation of the Peremptory Presumption of Educational Sanctuary</w:t>
      </w:r>
      <w:r>
        <w:rPr>
          <w:rFonts w:ascii="Calibri" w:hAnsi="Calibri"/>
          <w:color w:val="1E293B"/>
          <w:sz w:val="19"/>
        </w:rPr>
        <w:t xml:space="preserve"> (</w:t>
      </w:r>
      <w:r>
        <w:rPr>
          <w:rFonts w:ascii="Calibri" w:hAnsi="Calibri"/>
          <w:i/>
          <w:color w:val="1E293B"/>
          <w:sz w:val="19"/>
        </w:rPr>
        <w:t>Al-Bara School</w:t>
      </w:r>
      <w:r>
        <w:rPr>
          <w:rFonts w:ascii="Calibri" w:hAnsi="Calibri"/>
          <w:color w:val="1E293B"/>
          <w:sz w:val="19"/>
        </w:rPr>
        <w:t xml:space="preserve">, </w:t>
      </w:r>
      <w:r>
        <w:rPr>
          <w:rFonts w:ascii="Calibri" w:hAnsi="Calibri"/>
          <w:i/>
          <w:color w:val="1E293B"/>
          <w:sz w:val="19"/>
        </w:rPr>
        <w:t>Dasht-e Archi</w:t>
      </w:r>
      <w:r>
        <w:rPr>
          <w:rFonts w:ascii="Calibri" w:hAnsi="Calibri"/>
          <w:color w:val="1E293B"/>
          <w:sz w:val="19"/>
        </w:rPr>
        <w:t>).</w:t>
      </w:r>
    </w:p>
    <w:p>
      <w:pPr>
        <w:spacing w:before="40" w:after="80" w:line="276" w:lineRule="auto"/>
      </w:pPr>
      <w:r>
        <w:rPr>
          <w:rFonts w:ascii="Calibri" w:hAnsi="Calibri"/>
          <w:color w:val="1E293B"/>
          <w:sz w:val="20"/>
        </w:rPr>
        <w:t xml:space="preserve">This compendium stands ready for immediate incorporation into Docket </w:t>
      </w:r>
      <w:r>
        <w:rPr>
          <w:rFonts w:ascii="Calibri" w:hAnsi="Calibri"/>
          <w:i/>
          <w:color w:val="1E293B"/>
          <w:sz w:val="20"/>
        </w:rPr>
        <w:t>PFPJ-2026-IR-001</w:t>
      </w:r>
      <w:r>
        <w:rPr>
          <w:rFonts w:ascii="Calibri" w:hAnsi="Calibri"/>
          <w:color w:val="1E293B"/>
          <w:sz w:val="20"/>
        </w:rPr>
        <w:t xml:space="preserve"> before the United Nations, the International Court of Justice, and European Universal Jurisdiction Tribunals.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CASE BENCHMARK CHARTS · DRAFT DATE: 2026-10-24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