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2026-10-24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Evidentiary Custody:</w:t>
      </w:r>
      <w:r>
        <w:rPr>
          <w:rFonts w:ascii="Calibri" w:hAnsi="Calibri"/>
          <w:i/>
          <w:color w:val="334155"/>
          <w:sz w:val="19"/>
        </w:rPr>
        <w:t xml:space="preserve"> Official Legal Registry — Helsinki, Finland (Chain of Custody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(Palantir Maven Smart System &amp; Claude AI)</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Ante-Mortem Identification Records</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(Bloomberg,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ind w:left="576"/>
      </w:pPr>
      <w:r>
        <w:rPr>
          <w:rFonts w:ascii="Calibri" w:hAnsi="Calibri"/>
          <w:color w:val="2563EB"/>
          <w:sz w:val="19"/>
          <w:u w:val="single"/>
        </w:rPr>
        <w:t>EXH-OSINT-006.3: Comparative Benchmark Dossier: Case 15 Dahyan Bus Strike (Bellingcat, CNN, HRW, Amnesty, Mwatana &amp; JIAT)</w:t>
      </w:r>
    </w:p>
    <w:p>
      <w:pPr>
        <w:pStyle w:val="ListBullet"/>
        <w:spacing w:before="20" w:after="40"/>
      </w:pPr>
      <w:r>
        <w:rPr>
          <w:rFonts w:ascii="Calibri" w:hAnsi="Calibri"/>
          <w:color w:val="2563EB"/>
          <w:sz w:val="19"/>
          <w:u w:val="single"/>
        </w:rPr>
        <w:t>EXHIBIT SERIES UN: UNITED NATIONS INTERGOVERNMENTAL FACT-FINDING ARCHIVE</w:t>
      </w:r>
    </w:p>
    <w:p>
      <w:pPr>
        <w:pStyle w:val="ListBullet"/>
        <w:spacing w:before="20" w:after="40"/>
        <w:ind w:left="576"/>
      </w:pPr>
      <w:r>
        <w:rPr>
          <w:rFonts w:ascii="Calibri" w:hAnsi="Calibri"/>
          <w:color w:val="2563EB"/>
          <w:sz w:val="19"/>
          <w:u w:val="single"/>
        </w:rPr>
        <w:t>EXH-UN-008.1: Independent International Fact-Finding Mission on Iran Report (UN Doc. A/HRC/63/61)</w:t>
      </w:r>
    </w:p>
    <w:p>
      <w:pPr>
        <w:pStyle w:val="ListBullet"/>
        <w:spacing w:before="20" w:after="40"/>
        <w:ind w:left="576"/>
      </w:pPr>
      <w:r>
        <w:rPr>
          <w:rFonts w:ascii="Calibri" w:hAnsi="Calibri"/>
          <w:color w:val="2563EB"/>
          <w:sz w:val="19"/>
          <w:u w:val="single"/>
        </w:rPr>
        <w:t>EXH-UN-008.2: UN Group of Eminent Experts on Yemen Report (UN Doc. A/HRC/42/17 &amp; A/HRC/42/CRP.1 — Case 15 Benchmark)</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QuickBird &amp; WorldView-2 (0.50m Ortho-rectified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October 14, 2013 – November 22, 2015</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r>
              <w:rPr>
                <w:rFonts w:ascii="Calibri" w:hAnsi="Calibri"/>
                <w:color w:val="1E293B"/>
                <w:sz w:val="17"/>
              </w:rPr>
              <w:t xml:space="preserve"> (Shahid Beheshti Blvd,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Historical Archive (Verified by NPR, BBC Verify &amp; NYT Visual Investigations)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Probative Baseline / Berkeley Protocol § IV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VI § 6.2.1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In satellite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&amp; Maxar WorldView-3 (0.31m High-Resolution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12, 2016 – August 28, 2016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Maxar Technologies Archives (Verified by Human Rights Watch, BBC Verify &amp; Washington Post)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ECHR Detachable Precautionary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VII § 7.1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Multi-spectral Multi-temporal Commercial Archive (142 Overflights: PlanetScope, Maxar, Pleiades)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September 2016 – February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European Space Agency Open Archives (Continuous 2016–2026 Commercial Observation)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Continuous Open-Source Temporal Verification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Orthorectified Sub-Meter GIS Analytical Model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Measurement Calibration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Laser-Range &amp; Differential GPS Ground Truth (Error Margin: ±0.20m)</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School Boundary (</w:t>
            </w:r>
            <w:r>
              <w:rPr>
                <w:rFonts w:ascii="Consolas" w:hAnsi="Consolas"/>
                <w:color w:val="831843"/>
                <w:sz w:val="16"/>
              </w:rPr>
              <w:t>4,250 sq. m</w:t>
            </w:r>
            <w:r>
              <w:rPr>
                <w:rFonts w:ascii="Calibri" w:hAnsi="Calibri"/>
                <w:color w:val="1E293B"/>
                <w:sz w:val="17"/>
              </w:rPr>
              <w:t>: 85m N-S x 50m E-W)</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GIS Spatial Reconstructions &amp; OpenStreetMap Municipal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 § 5.4</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Post-Strike Imagery &amp; Ground Structural Engineering Survey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Date of Survey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1, 2026 (T+24 Hours Post-Detonation)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Epicenter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Post-Strike Orthoimagery Archive &amp; Hormozgan Structural Engineering Assessment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Post-Detonation Physical Remote Sensing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5.2</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directly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Ingestion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First Responders &amp; PFPJ ry Forensic Evidence Recovery Team</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28 – March 3,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Location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Ground Rubble &amp; Courtyard Crater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Evidence Custody Reference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Secured Physical Munitions Repository (Registry Ref: </w:t>
            </w:r>
            <w:r>
              <w:rPr>
                <w:rFonts w:ascii="Consolas" w:hAnsi="Consolas"/>
                <w:color w:val="831843"/>
                <w:sz w:val="16"/>
              </w:rPr>
              <w:t>EVD-MUN-2026-001</w:t>
            </w:r>
            <w:r>
              <w:rPr>
                <w:rFonts w:ascii="Calibri" w:hAnsi="Calibri"/>
                <w:color w:val="1E293B"/>
                <w:sz w:val="17"/>
              </w:rPr>
              <w: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Physical Metallurgical Chain of Custody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Certified physical evidence collection log and photographic index of metallic munitions fragments recovered from the classroom rubble and courtyard.</w:t>
      </w:r>
    </w:p>
    <w:p>
      <w:pPr>
        <w:spacing w:before="40" w:after="60"/>
        <w:ind w:left="432"/>
      </w:pPr>
      <w:r>
        <w:rPr>
          <w:b/>
          <w:sz w:val="19"/>
        </w:rPr>
        <w:t xml:space="preserve">2. </w:t>
      </w:r>
      <w:r>
        <w:rPr>
          <w:rFonts w:ascii="Calibri" w:hAnsi="Calibri"/>
          <w:color w:val="1E293B"/>
          <w:sz w:val="19"/>
        </w:rPr>
        <w:t>Recovered by local civilian first responders and hospital volunteers; authenticated and photographed with millimeter scale bars and date stamps.</w:t>
      </w:r>
    </w:p>
    <w:p>
      <w:pPr>
        <w:spacing w:before="40" w:after="60"/>
        <w:ind w:left="432"/>
      </w:pPr>
      <w:r>
        <w:rPr>
          <w:b/>
          <w:sz w:val="19"/>
        </w:rPr>
        <w:t xml:space="preserve">3. </w:t>
      </w:r>
      <w:r>
        <w:rPr>
          <w:rFonts w:ascii="Calibri" w:hAnsi="Calibri"/>
          <w:color w:val="1E293B"/>
          <w:sz w:val="19"/>
        </w:rPr>
        <w:t>Deposited in secure physical storage with corresponding chain of custody documentation.</w:t>
      </w:r>
    </w:p>
    <w:p>
      <w:pPr>
        <w:spacing w:before="200" w:after="60"/>
      </w:pPr>
      <w:r>
        <w:rPr>
          <w:rFonts w:ascii="Calibri" w:hAnsi="Calibri"/>
          <w:b/>
          <w:color w:val="334155"/>
          <w:sz w:val="22"/>
        </w:rPr>
        <w:t>EXH-MUN-002.2: Serialized Avionics Circuit Boards &amp; CAGE Code Attribution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Manufacturer CAGE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05047</w:t>
            </w:r>
            <w:r>
              <w:rPr>
                <w:rFonts w:ascii="Calibri" w:hAnsi="Calibri"/>
                <w:color w:val="1E293B"/>
                <w:sz w:val="17"/>
              </w:rPr>
              <w:t xml:space="preserve"> (Raytheon Missile Systems, Tucson, Arizona, USA)</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Board Assembly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ASSY 16200-6523910-1 REV 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Dedicated Weapon System</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Tomahawk Land Attack Cruise Missile (Block IV/V)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Subassembly Function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 Scene Matching Area Correlation (DSMAC) Optical Processor Bus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Debris Recovery &amp; Serialized CAGE Attribution (Trevor Ball / Bellingcat OSINT Investigation)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r>
              <w:rPr>
                <w:rFonts w:ascii="Calibri" w:hAnsi="Calibri"/>
                <w:color w:val="1E293B"/>
                <w:sz w:val="17"/>
              </w:rPr>
              <w:t xml:space="preserve">, </w:t>
            </w:r>
            <w:r>
              <w:rPr>
                <w:rFonts w:ascii="Calibri" w:hAnsi="Calibri"/>
                <w:color w:val="2563EB"/>
                <w:sz w:val="17"/>
                <w:u w:val="single"/>
              </w:rPr>
              <w:t>Chapter VI § 6.4</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05047</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Engine Model</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Williams International F107-WR-402 Turbofan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Metallurgical Composition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Ti-6Al-4V</w:t>
            </w:r>
            <w:r>
              <w:rPr>
                <w:rFonts w:ascii="Calibri" w:hAnsi="Calibri"/>
                <w:color w:val="1E293B"/>
                <w:sz w:val="17"/>
              </w:rPr>
              <w:t xml:space="preserve"> (Grade 5 Titanium Aerospace Alloy)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Recovered Component</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16-Bladed Integrally Bladed Rotor (</w:t>
            </w:r>
            <w:r>
              <w:rPr>
                <w:rFonts w:ascii="Calibri" w:hAnsi="Calibri"/>
                <w:i/>
                <w:color w:val="1E293B"/>
                <w:sz w:val="17"/>
              </w:rPr>
              <w:t>Blisk</w:t>
            </w:r>
            <w:r>
              <w:rPr>
                <w:rFonts w:ascii="Calibri" w:hAnsi="Calibri"/>
                <w:color w:val="1E293B"/>
                <w:sz w:val="17"/>
              </w:rPr>
              <w:t>) Stage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Exclusivity Metric</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powers US Navy BGM-109 Tomahawk cruise missiles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Titanium Alloy Turbine Debris Analysis &amp; Williams F107-WR-402 Technical Specifications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Warhead Designation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WDU-36/B Unitary Blast-Fragmentation (1,000 lbs / 454 kg)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Explosive Formulation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PBXN-107 (High-Density Polymer-Bonded Explosive, 1.25 TNT Eq.)</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Simulated Modeling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Blast Physics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Lethal Peak Overpressure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18–24 psi at School Wing (42 meters from 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Hydrodynamic Blast Physics Code &amp; PBXN-107 Technical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5.2</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Monitoring Station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Station </w:t>
            </w:r>
            <w:r>
              <w:rPr>
                <w:rFonts w:ascii="Consolas" w:hAnsi="Consolas"/>
                <w:color w:val="831843"/>
                <w:sz w:val="16"/>
              </w:rPr>
              <w:t>MNB</w:t>
            </w:r>
            <w:r>
              <w:rPr>
                <w:rFonts w:ascii="Calibri" w:hAnsi="Calibri"/>
                <w:color w:val="1E293B"/>
                <w:sz w:val="17"/>
              </w:rPr>
              <w:t xml:space="preserve"> (Iranian Seismological Center broadband station,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Salvo Pattern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Triple-Tap Sequential Detonations (09:22:15, 09:24:30, 09:26:40 IRST)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Local Magnitudes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$M_L = 0.82$, $M_L = 0.79$, $M_L = 0.81$</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Detonation Intervals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$\Delta t_1 = 135\text{ seconds}$, $\Delta t_2 = 130\text{ seconds}$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Seismological Center (IRSC Station MNB) Calibrated Broadband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5.4</w:t>
            </w:r>
          </w:p>
        </w:tc>
      </w:tr>
    </w:tbl>
    <w:p>
      <w:pPr>
        <w:spacing w:after="120"/>
      </w:pPr>
    </w:p>
    <w:p>
      <w:pPr>
        <w:spacing w:before="160" w:after="40"/>
      </w:pPr>
      <w:r>
        <w:rPr>
          <w:rFonts w:ascii="Calibri" w:hAnsi="Calibri"/>
          <w:b/>
          <w:i/>
          <w:color w:val="475569"/>
          <w:sz w:val="21"/>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Tracking Feeds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Feeds &amp; ADS-B De-confliction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Flight Ingress Profile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Terrain-Following Cruise (Altitude: 30–50m AGL, Speed: Mach 0.72)</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Ingress Vector Azimuth</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018° True North</w:t>
            </w:r>
            <w:r>
              <w:rPr>
                <w:rFonts w:ascii="Calibri" w:hAnsi="Calibri"/>
                <w:color w:val="1E293B"/>
                <w:sz w:val="17"/>
              </w:rPr>
              <w:t xml:space="preserve"> (Entering Iranian Airspace from Gulf of Oman)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Standoff Origin Sector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Waters of Gulf of Oman (~300–310 km SSW of Minab)</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Logs &amp; ADS-B Tracking Chronology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Aerodynamic Flight Ingress Reconstruction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Combat Operation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 Epic Fury" (Opening Salvo — February 28,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Assigned Operating Sector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Southern Coastal Sector / Hormozgan Province Assigned Exclusively to US NAVCENT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 &amp; JFACC Tasking Orders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Combat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r>
              <w:rPr>
                <w:rFonts w:ascii="Calibri" w:hAnsi="Calibri"/>
                <w:color w:val="1E293B"/>
                <w:sz w:val="17"/>
              </w:rPr>
              <w:t xml:space="preserve">, </w:t>
            </w:r>
            <w:r>
              <w:rPr>
                <w:rFonts w:ascii="Calibri" w:hAnsi="Calibri"/>
                <w:color w:val="2563EB"/>
                <w:sz w:val="17"/>
                <w:u w:val="single"/>
              </w:rPr>
              <w:t>Chapter VIII § 8.1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Naval Formation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USS </w:t>
            </w:r>
            <w:r>
              <w:rPr>
                <w:rFonts w:ascii="Calibri" w:hAnsi="Calibri"/>
                <w:i/>
                <w:color w:val="1E293B"/>
                <w:sz w:val="17"/>
              </w:rPr>
              <w:t>Abraham Lincoln</w:t>
            </w:r>
            <w:r>
              <w:rPr>
                <w:rFonts w:ascii="Calibri" w:hAnsi="Calibri"/>
                <w:color w:val="1E293B"/>
                <w:sz w:val="17"/>
              </w:rPr>
              <w:t xml:space="preserve"> Carrier Strike Group Three (CSG-3)</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Deployment Station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24.45° N</w:t>
            </w:r>
            <w:r>
              <w:rPr>
                <w:rFonts w:ascii="Calibri" w:hAnsi="Calibri"/>
                <w:color w:val="1E293B"/>
                <w:sz w:val="17"/>
              </w:rPr>
              <w:t xml:space="preserve">, Longitude </w:t>
            </w:r>
            <w:r>
              <w:rPr>
                <w:rFonts w:ascii="Consolas" w:hAnsi="Consolas"/>
                <w:color w:val="831843"/>
                <w:sz w:val="16"/>
              </w:rPr>
              <w:t>57.80° E</w:t>
            </w:r>
            <w:r>
              <w:rPr>
                <w:rFonts w:ascii="Calibri" w:hAnsi="Calibri"/>
                <w:color w:val="1E293B"/>
                <w:sz w:val="17"/>
              </w:rPr>
              <w:t xml:space="preserve"> (Northern Arabian Sea / Gulf of Oman)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Distance to Minab</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~310 km (Well within 1,600 km TLAM Block IV/V operational radius)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Launch Platform Type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Guided-Missile Cruisers (</w:t>
            </w:r>
            <w:r>
              <w:rPr>
                <w:rFonts w:ascii="Calibri" w:hAnsi="Calibri"/>
                <w:i/>
                <w:color w:val="1E293B"/>
                <w:sz w:val="17"/>
              </w:rPr>
              <w:t>Ticonderoga</w:t>
            </w:r>
            <w:r>
              <w:rPr>
                <w:rFonts w:ascii="Calibri" w:hAnsi="Calibri"/>
                <w:color w:val="1E293B"/>
                <w:sz w:val="17"/>
              </w:rPr>
              <w:t>-class) / Destroyers (</w:t>
            </w:r>
            <w:r>
              <w:rPr>
                <w:rFonts w:ascii="Calibri" w:hAnsi="Calibri"/>
                <w:i/>
                <w:color w:val="1E293B"/>
                <w:sz w:val="17"/>
              </w:rPr>
              <w:t>Arleigh Burke</w:t>
            </w:r>
            <w:r>
              <w:rPr>
                <w:rFonts w:ascii="Calibri" w:hAnsi="Calibri"/>
                <w:color w:val="1E293B"/>
                <w:sz w:val="17"/>
              </w:rPr>
              <w:t>-class)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Naval Forces Central Command (NAVCENT) CSG-3 Deployment Disclosures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Operational Range &amp; Standoff Trajectory Verification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Analysis Type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Comparative International Defense Inventory &amp; Export Control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Operating Militaries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United States Navy and United Kingdom Royal Navy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Target Actor Exclusion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Armed Forces and regional non-state actors possess zero TLAM / Mk 41 VLS systems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Institute for Strategic Studies (IISS) Military Balance &amp; Defense Export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International Weapon Inventory Exclusivity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 US Central Command Public Affairs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Briefing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4, March 11, and March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Rule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Official Briefing Transcripts (March 4, 11, and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II § 2.4</w:t>
            </w:r>
            <w:r>
              <w:rPr>
                <w:rFonts w:ascii="Calibri" w:hAnsi="Calibri"/>
                <w:color w:val="1E293B"/>
                <w:sz w:val="17"/>
              </w:rPr>
              <w:t xml:space="preserve">, </w:t>
            </w:r>
            <w:r>
              <w:rPr>
                <w:rFonts w:ascii="Calibri" w:hAnsi="Calibri"/>
                <w:color w:val="2563EB"/>
                <w:sz w:val="17"/>
                <w:u w:val="single"/>
              </w:rPr>
              <w:t>Chapter VI § 6.2</w:t>
            </w:r>
          </w:p>
        </w:tc>
      </w:tr>
    </w:tbl>
    <w:p>
      <w:pPr>
        <w:spacing w:after="120"/>
      </w:pPr>
    </w:p>
    <w:p>
      <w:pPr>
        <w:spacing w:before="160" w:after="40"/>
      </w:pPr>
      <w:r>
        <w:rPr>
          <w:rFonts w:ascii="Calibri" w:hAnsi="Calibri"/>
          <w:b/>
          <w:i/>
          <w:color w:val="475569"/>
          <w:sz w:val="21"/>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Army Regulation 15-6 Fact-Finding Board</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Findings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Outdated Pre-2016 DIA Folder, Single Point of Failure, Automated NSL Omission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AR 15-6 Fact-Finding Inquiries (Documented by NYT &amp; Washington Post)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Military Investigative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6.2.2</w:t>
            </w:r>
            <w:r>
              <w:rPr>
                <w:rFonts w:ascii="Calibri" w:hAnsi="Calibri"/>
                <w:color w:val="1E293B"/>
                <w:sz w:val="17"/>
              </w:rPr>
              <w:t xml:space="preserve">, </w:t>
            </w:r>
            <w:r>
              <w:rPr>
                <w:rFonts w:ascii="Calibri" w:hAnsi="Calibri"/>
                <w:color w:val="2563EB"/>
                <w:sz w:val="17"/>
                <w:u w:val="single"/>
              </w:rPr>
              <w:t>Chapter VIII § 8.2</w:t>
            </w:r>
          </w:p>
        </w:tc>
      </w:tr>
    </w:tbl>
    <w:p>
      <w:pPr>
        <w:spacing w:after="120"/>
      </w:pPr>
    </w:p>
    <w:p>
      <w:pPr>
        <w:spacing w:before="160" w:after="40"/>
      </w:pPr>
      <w:r>
        <w:rPr>
          <w:rFonts w:ascii="Calibri" w:hAnsi="Calibri"/>
          <w:b/>
          <w:i/>
          <w:color w:val="475569"/>
          <w:sz w:val="21"/>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Congressional Committee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States Senate Committee on Armed Services / Foreign Relations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Addressee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Secretary of Defense Pete Hegseth</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Inquiry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Revocation of Civilian Harm Mitigation (CHMR) Protocols &amp; Pre-Strike Vetting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Senate Armed Services Committee Official Correspondence &amp; Congressional Record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Legislative Oversight Public Records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(Palantir Maven Smart System &amp; Claude AI)</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and forensic audit of automated algorithmic targeting systems deployed by CENTCOM during Operation Epic Fury, as substantiated by Pentagon investigative disclosures and Bloomberg News reporting.</w:t>
      </w:r>
    </w:p>
    <w:p>
      <w:pPr>
        <w:pStyle w:val="ListBullet"/>
        <w:spacing w:before="20" w:after="40"/>
      </w:pPr>
      <w:r>
        <w:rPr>
          <w:rFonts w:ascii="Calibri" w:hAnsi="Calibri"/>
          <w:b/>
          <w:color w:val="1E293B"/>
          <w:sz w:val="19"/>
        </w:rPr>
        <w:t>Factual Findings &amp; System Architecture:</w:t>
      </w:r>
    </w:p>
    <w:p>
      <w:pPr>
        <w:spacing w:before="40" w:after="60"/>
        <w:ind w:left="432"/>
      </w:pPr>
      <w:r>
        <w:rPr>
          <w:b/>
          <w:sz w:val="19"/>
        </w:rPr>
        <w:t xml:space="preserve">1. </w:t>
      </w:r>
      <w:r>
        <w:rPr>
          <w:rFonts w:ascii="Calibri" w:hAnsi="Calibri"/>
          <w:b/>
          <w:color w:val="1E293B"/>
          <w:sz w:val="19"/>
        </w:rPr>
        <w:t>Platform Stack:</w:t>
      </w:r>
      <w:r>
        <w:rPr>
          <w:rFonts w:ascii="Calibri" w:hAnsi="Calibri"/>
          <w:color w:val="1E293B"/>
          <w:sz w:val="19"/>
        </w:rPr>
        <w:t xml:space="preserve"> CENTCOM deployed the </w:t>
      </w:r>
      <w:r>
        <w:rPr>
          <w:rFonts w:ascii="Calibri" w:hAnsi="Calibri"/>
          <w:b/>
          <w:color w:val="1E293B"/>
          <w:sz w:val="19"/>
        </w:rPr>
        <w:t>Maven Smart System</w:t>
      </w:r>
      <w:r>
        <w:rPr>
          <w:rFonts w:ascii="Calibri" w:hAnsi="Calibri"/>
          <w:color w:val="1E293B"/>
          <w:sz w:val="19"/>
        </w:rPr>
        <w:t xml:space="preserve"> (developed by Palantir Technologies), integrating large language and reasoning models (</w:t>
      </w:r>
      <w:r>
        <w:rPr>
          <w:rFonts w:ascii="Calibri" w:hAnsi="Calibri"/>
          <w:b/>
          <w:color w:val="1E293B"/>
          <w:sz w:val="19"/>
        </w:rPr>
        <w:t>Anthropic’s Claude</w:t>
      </w:r>
      <w:r>
        <w:rPr>
          <w:rFonts w:ascii="Calibri" w:hAnsi="Calibri"/>
          <w:color w:val="1E293B"/>
          <w:sz w:val="19"/>
        </w:rPr>
        <w:t>) to synthesize multi-INT feeds, calculate target priority scores, and draft automated target nomination rationales;</w:t>
      </w:r>
    </w:p>
    <w:p>
      <w:pPr>
        <w:spacing w:before="40" w:after="60"/>
        <w:ind w:left="432"/>
      </w:pPr>
      <w:r>
        <w:rPr>
          <w:b/>
          <w:sz w:val="19"/>
        </w:rPr>
        <w:t xml:space="preserve">2. </w:t>
      </w:r>
      <w:r>
        <w:rPr>
          <w:rFonts w:ascii="Calibri" w:hAnsi="Calibri"/>
          <w:b/>
          <w:color w:val="1E293B"/>
          <w:sz w:val="19"/>
        </w:rPr>
        <w:t>Stale Classification Ingestion:</w:t>
      </w:r>
      <w:r>
        <w:rPr>
          <w:rFonts w:ascii="Calibri" w:hAnsi="Calibri"/>
          <w:color w:val="1E293B"/>
          <w:sz w:val="19"/>
        </w:rPr>
        <w:t xml:space="preserve"> Maven ingested legacy pre-2016 targeting databases classifying the parcel as an active IRGC naval logistics depot. While secondary intelligence branches had separately recorded the facility's 2016 physical partition and conversion to an elementary school, these records were stored in disconnected database silos and never synchronized into Maven's operational targeting layer;</w:t>
      </w:r>
    </w:p>
    <w:p>
      <w:pPr>
        <w:spacing w:before="40" w:after="60"/>
        <w:ind w:left="432"/>
      </w:pPr>
      <w:r>
        <w:rPr>
          <w:b/>
          <w:sz w:val="19"/>
        </w:rPr>
        <w:t xml:space="preserve">3. </w:t>
      </w:r>
      <w:r>
        <w:rPr>
          <w:rFonts w:ascii="Calibri" w:hAnsi="Calibri"/>
          <w:b/>
          <w:color w:val="1E293B"/>
          <w:sz w:val="19"/>
        </w:rPr>
        <w:t>Extreme Time Compression &amp; Automation Bias:</w:t>
      </w:r>
      <w:r>
        <w:rPr>
          <w:rFonts w:ascii="Calibri" w:hAnsi="Calibri"/>
          <w:color w:val="1E293B"/>
          <w:sz w:val="19"/>
        </w:rPr>
        <w:t xml:space="preserve"> During the opening 24 hours of the conflict, the Maven platform processed over 1,000 strikes, compressing target validation workflows from hours/days into minutes. Human targeters and approving commanders operated under cognitive saturation, displaying uncritical automation bias toward algorithmic recommendations;</w:t>
      </w:r>
    </w:p>
    <w:p>
      <w:pPr>
        <w:spacing w:before="40" w:after="60"/>
        <w:ind w:left="432"/>
      </w:pPr>
      <w:r>
        <w:rPr>
          <w:b/>
          <w:sz w:val="19"/>
        </w:rPr>
        <w:t xml:space="preserve">4. </w:t>
      </w:r>
      <w:r>
        <w:rPr>
          <w:rFonts w:ascii="Calibri" w:hAnsi="Calibri"/>
          <w:b/>
          <w:color w:val="1E293B"/>
          <w:sz w:val="19"/>
        </w:rPr>
        <w:t>Elimination of Civilian Harm Safeguards:</w:t>
      </w:r>
      <w:r>
        <w:rPr>
          <w:rFonts w:ascii="Calibri" w:hAnsi="Calibri"/>
          <w:color w:val="1E293B"/>
          <w:sz w:val="19"/>
        </w:rPr>
        <w:t xml:space="preserve"> Prior to the operation, CENTCOM’s dedicated Civilian Harm Mitigation and Response (CHMR) unit was reduced from </w:t>
      </w:r>
      <w:r>
        <w:rPr>
          <w:rFonts w:ascii="Calibri" w:hAnsi="Calibri"/>
          <w:b/>
          <w:color w:val="1E293B"/>
          <w:sz w:val="19"/>
        </w:rPr>
        <w:t>10 members to a single analyst</w:t>
      </w:r>
      <w:r>
        <w:rPr>
          <w:rFonts w:ascii="Calibri" w:hAnsi="Calibri"/>
          <w:color w:val="1E293B"/>
          <w:sz w:val="19"/>
        </w:rPr>
        <w:t>. Zero civilian harm mitigation specialists reviewed the Minab school target packet before weapons release;</w:t>
      </w:r>
    </w:p>
    <w:p>
      <w:pPr>
        <w:spacing w:before="40" w:after="60"/>
        <w:ind w:left="432"/>
      </w:pPr>
      <w:r>
        <w:rPr>
          <w:b/>
          <w:sz w:val="19"/>
        </w:rPr>
        <w:t xml:space="preserve">5. </w:t>
      </w:r>
      <w:r>
        <w:rPr>
          <w:rFonts w:ascii="Calibri" w:hAnsi="Calibri"/>
          <w:b/>
          <w:color w:val="1E293B"/>
          <w:sz w:val="19"/>
        </w:rPr>
        <w:t>Post-Strike Vendor Remediation:</w:t>
      </w:r>
      <w:r>
        <w:rPr>
          <w:rFonts w:ascii="Calibri" w:hAnsi="Calibri"/>
          <w:color w:val="1E293B"/>
          <w:sz w:val="19"/>
        </w:rPr>
        <w:t xml:space="preserve"> Following internal Pentagon confirmation of US responsibility for the school's destruction within hours of impact, Palantir quietly deployed emergency software updates to Maven, introducing automated "re-review" checkpoints to search for disqualifying civilian factors previously missed by human operators.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w:t>
            </w:r>
            <w:r>
              <w:rPr>
                <w:rFonts w:ascii="Calibri" w:hAnsi="Calibri"/>
                <w:i/>
                <w:color w:val="1E293B"/>
                <w:sz w:val="17"/>
              </w:rPr>
              <w:t>Pezeshki Ghanouni</w:t>
            </w:r>
            <w:r>
              <w:rPr>
                <w:rFonts w:ascii="Calibri" w:hAnsi="Calibri"/>
                <w:color w:val="1E293B"/>
                <w:sz w:val="17"/>
              </w:rPr>
              <w:t xml:space="preserve"> / lmo.ir)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Forensic Methodology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Short Tandem Repeat (STR) Genomic DNA Typing across 312 Tissue Specimens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Certified Casualties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156 Deaths</w:t>
            </w:r>
            <w:r>
              <w:rPr>
                <w:rFonts w:ascii="Calibri" w:hAnsi="Calibri"/>
                <w:color w:val="1E293B"/>
                <w:sz w:val="17"/>
              </w:rPr>
              <w:t xml:space="preserve"> (155 Identified &amp; Buried; 1 Vaporized at Epicenter)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(LMO / lmo.ir) Certified Autopsy &amp; STR Typing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Forensic Pathology &amp; Genomic Identification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Certified Aggregate Findings:</w:t>
      </w:r>
    </w:p>
    <w:p>
      <w:pPr>
        <w:pStyle w:val="ListBullet"/>
        <w:spacing w:before="20" w:after="40"/>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Hospital Facility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(Minab) &amp; Hormozgan Provincial Trauma 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Surviving Casualties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95+ Documented Emergency Surgical Triage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Major Pediatric Trauma</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38 Limb Amputations, 24 Acoustic Ruptures, 19 Penetrating Ocular Enucleations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Emergency Triage &amp; Surgical Operating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Contemporaneous Hospital Trauma Ledgers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Documented Casualty Manifest:</w:t>
      </w:r>
    </w:p>
    <w:p>
      <w:pPr>
        <w:pStyle w:val="ListBullet"/>
        <w:spacing w:before="20" w:after="40"/>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pPr>
      <w:r>
        <w:rPr>
          <w:rFonts w:ascii="Calibri" w:hAnsi="Calibri"/>
          <w:color w:val="1E293B"/>
          <w:sz w:val="19"/>
        </w:rPr>
        <w:t>38 emergency limb amputations performed on pediatric patients (girls aged 7–12);</w:t>
      </w:r>
    </w:p>
    <w:p>
      <w:pPr>
        <w:pStyle w:val="ListBullet"/>
        <w:spacing w:before="20" w:after="40"/>
      </w:pPr>
      <w:r>
        <w:rPr>
          <w:rFonts w:ascii="Calibri" w:hAnsi="Calibri"/>
          <w:color w:val="1E293B"/>
          <w:sz w:val="19"/>
        </w:rPr>
        <w:t>24 cases of irreversible acoustic trauma and permanent bilateral eardrum rupture;</w:t>
      </w:r>
    </w:p>
    <w:p>
      <w:pPr>
        <w:pStyle w:val="ListBullet"/>
        <w:spacing w:before="20" w:after="40"/>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Certifying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Ministry of Education (Department of Education of Hormozgan Province)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License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96142081</w:t>
            </w:r>
            <w:r>
              <w:rPr>
                <w:rFonts w:ascii="Calibri" w:hAnsi="Calibri"/>
                <w:color w:val="1E293B"/>
                <w:sz w:val="17"/>
              </w:rPr>
              <w:t xml:space="preserve"> (Accredited Public Girls' Elementary School)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Faculty Roster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26 Teachers, Counselors, Administrators Present on Strike Morning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Student Roll</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146 Registered Pupils (2025–2026 Academic Session)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Hormozgan Provincial Department of Education Accreditation Archive (License Code: </w:t>
            </w:r>
            <w:r>
              <w:rPr>
                <w:rFonts w:ascii="Consolas" w:hAnsi="Consolas"/>
                <w:color w:val="831843"/>
                <w:sz w:val="16"/>
              </w:rPr>
              <w:t>96142081</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Educational Institution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p>
        </w:tc>
      </w:tr>
    </w:tbl>
    <w:p>
      <w:pPr>
        <w:spacing w:after="120"/>
      </w:pPr>
    </w:p>
    <w:p>
      <w:pPr>
        <w:spacing w:before="160" w:after="40"/>
      </w:pPr>
      <w:r>
        <w:rPr>
          <w:rFonts w:ascii="Calibri" w:hAnsi="Calibri"/>
          <w:b/>
          <w:i/>
          <w:color w:val="475569"/>
          <w:sz w:val="21"/>
        </w:rPr>
        <w:t>Institutional Licensing Findings:</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Death Certificates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156 Registered Forensic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Database Repositories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Vital Statistics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Registered Death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Civil &amp; Forensic Death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10.1</w:t>
            </w:r>
          </w:p>
        </w:tc>
      </w:tr>
    </w:tbl>
    <w:p>
      <w:pPr>
        <w:spacing w:after="120"/>
      </w:pP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Ante-Mortem Identification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Scope of Visual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100 Verified Child Victim Ante-Mortem Identification Portraits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Student Identity Cards &amp; Family Ante-Mortem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Civil &amp; Institutional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Minab Department of Education Student Registry &amp; Hormozgan Provincial Civil Registry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Ante-Mortem Identity Verification Protocol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10.3</w:t>
            </w:r>
          </w:p>
        </w:tc>
      </w:tr>
    </w:tbl>
    <w:p>
      <w:pPr>
        <w:spacing w:after="120"/>
      </w:pPr>
    </w:p>
    <w:p>
      <w:pPr>
        <w:spacing w:before="160" w:after="40"/>
      </w:pPr>
      <w:r>
        <w:rPr>
          <w:rFonts w:ascii="Calibri" w:hAnsi="Calibri"/>
          <w:b/>
          <w:i/>
          <w:color w:val="475569"/>
          <w:sz w:val="21"/>
        </w:rPr>
        <w:t>Primary Archival Sources &amp; Identification Cross-References:</w:t>
      </w:r>
    </w:p>
    <w:p>
      <w:pPr>
        <w:pStyle w:val="ListBullet"/>
        <w:spacing w:before="20" w:after="40"/>
      </w:pPr>
      <w:r>
        <w:rPr>
          <w:rFonts w:ascii="Calibri" w:hAnsi="Calibri"/>
          <w:b/>
          <w:color w:val="1E293B"/>
          <w:sz w:val="19"/>
        </w:rPr>
        <w:t>Primary Source Archive:</w:t>
      </w:r>
      <w:r>
        <w:rPr>
          <w:rFonts w:ascii="Calibri" w:hAnsi="Calibri"/>
          <w:color w:val="1E293B"/>
          <w:sz w:val="19"/>
        </w:rPr>
        <w:t xml:space="preserve"> Shajareh Tayyebeh Girls' Elementary School Student Identification Files (Academic Session 2025–2026);</w:t>
      </w:r>
    </w:p>
    <w:p>
      <w:pPr>
        <w:pStyle w:val="ListBullet"/>
        <w:spacing w:before="20" w:after="40"/>
      </w:pPr>
      <w:r>
        <w:rPr>
          <w:rFonts w:ascii="Calibri" w:hAnsi="Calibri"/>
          <w:b/>
          <w:color w:val="1E293B"/>
          <w:sz w:val="19"/>
        </w:rPr>
        <w:t>Family Memorial Registries:</w:t>
      </w:r>
      <w:r>
        <w:rPr>
          <w:rFonts w:ascii="Calibri" w:hAnsi="Calibri"/>
          <w:color w:val="1E293B"/>
          <w:sz w:val="19"/>
        </w:rPr>
        <w:t xml:space="preserve"> Verified ante-mortem family photographs confirmed by legal guardians and relatives during identification proceedings;</w:t>
      </w:r>
    </w:p>
    <w:p>
      <w:pPr>
        <w:pStyle w:val="ListBullet"/>
        <w:spacing w:before="20" w:after="40"/>
      </w:pPr>
      <w:r>
        <w:rPr>
          <w:rFonts w:ascii="Calibri" w:hAnsi="Calibri"/>
          <w:b/>
          <w:color w:val="1E293B"/>
          <w:sz w:val="19"/>
        </w:rPr>
        <w:t>Municipal Vital Records:</w:t>
      </w:r>
      <w:r>
        <w:rPr>
          <w:rFonts w:ascii="Calibri" w:hAnsi="Calibri"/>
          <w:color w:val="1E293B"/>
          <w:sz w:val="19"/>
        </w:rPr>
        <w:t xml:space="preserve"> Certified against the Minab Civil Status Registration Bureau (</w:t>
      </w:r>
      <w:r>
        <w:rPr>
          <w:rFonts w:ascii="Calibri" w:hAnsi="Calibri"/>
          <w:i/>
          <w:color w:val="1E293B"/>
          <w:sz w:val="19"/>
        </w:rPr>
        <w:t>Edareh-ye Sabt-e Ahval-e Minab</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Hormozgan Provincial Civil Registry / Minab Family Legal Representatives.</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40" w:after="60"/>
        <w:ind w:left="432"/>
      </w:pPr>
      <w:r>
        <w:rPr>
          <w:b/>
          <w:sz w:val="19"/>
        </w:rPr>
        <w:t xml:space="preserve">6. </w:t>
      </w:r>
      <w:r>
        <w:rPr>
          <w:rFonts w:ascii="Calibri" w:hAnsi="Calibri"/>
          <w:b/>
          <w:color w:val="1E293B"/>
          <w:sz w:val="19"/>
        </w:rPr>
        <w:t>Bloomberg News (Visual Investigation — September 18, 2026, by Ben Bartenstein &amp; Krishna Karra):</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xml:space="preserve"> — Comprehensive technical and operational forensic reconstruction of the AI targeting pipeline; detailed the deployment of Palantir’s Maven Smart System and Anthropic’s Claude AI; exposed extreme kill-chain time compression across &gt;1,000 Day 1 strikes; documented that the CENTCOM Civilian Harm Mitigation team was gutted from 10 analysts to 1; and proved that disconnected intelligence databases failed to synchronize the school's ten-year civilian conversion into Maven's operational targeting layer.</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200" w:after="60"/>
      </w:pPr>
      <w:r>
        <w:rPr>
          <w:rFonts w:ascii="Calibri" w:hAnsi="Calibri"/>
          <w:b/>
          <w:color w:val="334155"/>
          <w:sz w:val="22"/>
        </w:rPr>
        <w:t>EXH-OSINT-006.3: Comparative Benchmark Dossier: Case 15 Dahyan Bus Strike (Bellingcat, CNN, HRW, Amnesty, Mwatana &amp; JIAT)</w:t>
      </w:r>
    </w:p>
    <w:p>
      <w:pPr>
        <w:pStyle w:val="ListBullet"/>
        <w:spacing w:before="20" w:after="40"/>
      </w:pPr>
      <w:r>
        <w:rPr>
          <w:rFonts w:ascii="Calibri" w:hAnsi="Calibri"/>
          <w:b/>
          <w:color w:val="1E293B"/>
          <w:sz w:val="19"/>
        </w:rPr>
        <w:t>Description:</w:t>
      </w:r>
      <w:r>
        <w:rPr>
          <w:rFonts w:ascii="Calibri" w:hAnsi="Calibri"/>
          <w:color w:val="1E293B"/>
          <w:sz w:val="19"/>
        </w:rPr>
        <w:t xml:space="preserve"> Comprehensive evidentiary and investigative benchmark dossier concerning the August 9, 2018 Dahyan market school bus airstrike in Sa'ada, Yemen (Case 15), compiled pursuant to ICTY Rule 89(C) to establish governing precedent on sub-meter guided munitions forensics, belligerent ROE admissions, and contractor complicity.</w:t>
      </w:r>
    </w:p>
    <w:p>
      <w:pPr>
        <w:pStyle w:val="ListBullet"/>
        <w:spacing w:before="20" w:after="40"/>
      </w:pPr>
      <w:r>
        <w:rPr>
          <w:rFonts w:ascii="Calibri" w:hAnsi="Calibri"/>
          <w:b/>
          <w:color w:val="1E293B"/>
          <w:sz w:val="19"/>
        </w:rPr>
        <w:t>Archival Reference:</w:t>
      </w:r>
      <w:r>
        <w:rPr>
          <w:rFonts w:ascii="Calibri" w:hAnsi="Calibri"/>
          <w:color w:val="1E293B"/>
          <w:sz w:val="19"/>
        </w:rPr>
        <w:t xml:space="preserve"> </w:t>
      </w:r>
      <w:r>
        <w:rPr>
          <w:rFonts w:ascii="Consolas" w:hAnsi="Consolas"/>
          <w:color w:val="831843"/>
          <w:sz w:val="18"/>
        </w:rPr>
        <w:t>Campaigns/minab/legal_benchmarks/annexes_and_exhibits/case_15_dahyan_school_bus/EXH-CASE15-ANNEX-1_UN_GEE_and_Bellingcat_Dahyan_Bus_Dossier.md</w:t>
      </w:r>
      <w:r>
        <w:rPr>
          <w:rFonts w:ascii="Calibri" w:hAnsi="Calibri"/>
          <w:color w:val="1E293B"/>
          <w:sz w:val="19"/>
        </w:rPr>
        <w:t xml:space="preserve"> &amp; </w:t>
      </w:r>
      <w:r>
        <w:rPr>
          <w:rFonts w:ascii="Consolas" w:hAnsi="Consolas"/>
          <w:color w:val="831843"/>
          <w:sz w:val="18"/>
        </w:rPr>
        <w:t>case_15_dahyan_school_bus_un_gee_full_report.md</w:t>
      </w:r>
      <w:r>
        <w:rPr>
          <w:rFonts w:ascii="Calibri" w:hAnsi="Calibri"/>
          <w:color w:val="1E293B"/>
          <w:sz w:val="19"/>
        </w:rPr>
        <w:t>.</w:t>
      </w:r>
    </w:p>
    <w:p>
      <w:pPr>
        <w:pStyle w:val="ListBullet"/>
        <w:spacing w:before="20" w:after="40"/>
      </w:pPr>
      <w:r>
        <w:rPr>
          <w:rFonts w:ascii="Calibri" w:hAnsi="Calibri"/>
          <w:b/>
          <w:color w:val="1E293B"/>
          <w:sz w:val="19"/>
        </w:rPr>
        <w:t>Primary Investigative Sources &amp; Forensics Catalogued:</w:t>
      </w:r>
    </w:p>
    <w:p>
      <w:pPr>
        <w:spacing w:before="40" w:after="60"/>
        <w:ind w:left="432"/>
      </w:pPr>
      <w:r>
        <w:rPr>
          <w:b/>
          <w:sz w:val="19"/>
        </w:rPr>
        <w:t xml:space="preserve">1. </w:t>
      </w:r>
      <w:r>
        <w:rPr>
          <w:rFonts w:ascii="Calibri" w:hAnsi="Calibri"/>
          <w:b/>
          <w:color w:val="1E293B"/>
          <w:sz w:val="19"/>
        </w:rPr>
        <w:t>Bellingcat Investigation Team (Munitions Forensics — August 13, 2018):</w:t>
      </w:r>
      <w:r>
        <w:rPr>
          <w:rFonts w:ascii="Calibri" w:hAnsi="Calibri"/>
          <w:color w:val="1E293B"/>
          <w:sz w:val="19"/>
        </w:rPr>
        <w:t xml:space="preserve"> Geolocated impact crater in Dahyan market (</w:t>
      </w:r>
      <w:r>
        <w:rPr>
          <w:rFonts w:ascii="Consolas" w:hAnsi="Consolas"/>
          <w:color w:val="831843"/>
          <w:sz w:val="18"/>
        </w:rPr>
        <w:t>17.0694° N, 43.6192° E</w:t>
      </w:r>
      <w:r>
        <w:rPr>
          <w:rFonts w:ascii="Calibri" w:hAnsi="Calibri"/>
          <w:color w:val="1E293B"/>
          <w:sz w:val="19"/>
        </w:rPr>
        <w:t xml:space="preserve">); matched fin and actuator remnants to Lockheed Martin GBU-12 Paveway II laser-guided bomb bearing CAGE Code </w:t>
      </w:r>
      <w:r>
        <w:rPr>
          <w:rFonts w:ascii="Consolas" w:hAnsi="Consolas"/>
          <w:color w:val="831843"/>
          <w:sz w:val="18"/>
        </w:rPr>
        <w:t>94117</w:t>
      </w:r>
      <w:r>
        <w:rPr>
          <w:rFonts w:ascii="Calibri" w:hAnsi="Calibri"/>
          <w:color w:val="1E293B"/>
          <w:sz w:val="19"/>
        </w:rPr>
        <w:t xml:space="preserve"> and DoD contract </w:t>
      </w:r>
      <w:r>
        <w:rPr>
          <w:rFonts w:ascii="Consolas" w:hAnsi="Consolas"/>
          <w:color w:val="831843"/>
          <w:sz w:val="18"/>
        </w:rPr>
        <w:t>W31P4Q-09-C-0365</w:t>
      </w:r>
      <w:r>
        <w:rPr>
          <w:rFonts w:ascii="Calibri" w:hAnsi="Calibri"/>
          <w:color w:val="1E293B"/>
          <w:sz w:val="19"/>
        </w:rPr>
        <w:t>;</w:t>
      </w:r>
    </w:p>
    <w:p>
      <w:pPr>
        <w:spacing w:before="40" w:after="60"/>
        <w:ind w:left="432"/>
      </w:pPr>
      <w:r>
        <w:rPr>
          <w:b/>
          <w:sz w:val="19"/>
        </w:rPr>
        <w:t xml:space="preserve">2. </w:t>
      </w:r>
      <w:r>
        <w:rPr>
          <w:rFonts w:ascii="Calibri" w:hAnsi="Calibri"/>
          <w:b/>
          <w:color w:val="1E293B"/>
          <w:sz w:val="19"/>
        </w:rPr>
        <w:t>CNN International Investigative Unit (Nima Elbagir et al. — August 17, 2018):</w:t>
      </w:r>
      <w:r>
        <w:rPr>
          <w:rFonts w:ascii="Calibri" w:hAnsi="Calibri"/>
          <w:color w:val="1E293B"/>
          <w:sz w:val="19"/>
        </w:rPr>
        <w:t xml:space="preserve"> Recovered on-bus ante-mortem video recorded by schoolchildren minutes prior to impact; confirmed weapon delivery under US Foreign Military Sales (FMS) package;</w:t>
      </w:r>
    </w:p>
    <w:p>
      <w:pPr>
        <w:spacing w:before="40" w:after="60"/>
        <w:ind w:left="432"/>
      </w:pPr>
      <w:r>
        <w:rPr>
          <w:b/>
          <w:sz w:val="19"/>
        </w:rPr>
        <w:t xml:space="preserve">3. </w:t>
      </w:r>
      <w:r>
        <w:rPr>
          <w:rFonts w:ascii="Calibri" w:hAnsi="Calibri"/>
          <w:b/>
          <w:color w:val="1E293B"/>
          <w:sz w:val="19"/>
        </w:rPr>
        <w:t>Human Rights Watch (War Crime Field Report — September 2, 2018):</w:t>
      </w:r>
      <w:r>
        <w:rPr>
          <w:rFonts w:ascii="Calibri" w:hAnsi="Calibri"/>
          <w:color w:val="1E293B"/>
          <w:sz w:val="19"/>
        </w:rPr>
        <w:t xml:space="preserve"> Documented 51 fatalities (including 40 children) and 79 wounded; interviewed 14 survivors and eyewitnesses; proved the absence of any military objective at the market stop;</w:t>
      </w:r>
    </w:p>
    <w:p>
      <w:pPr>
        <w:spacing w:before="40" w:after="60"/>
        <w:ind w:left="432"/>
      </w:pPr>
      <w:r>
        <w:rPr>
          <w:b/>
          <w:sz w:val="19"/>
        </w:rPr>
        <w:t xml:space="preserve">4. </w:t>
      </w:r>
      <w:r>
        <w:rPr>
          <w:rFonts w:ascii="Calibri" w:hAnsi="Calibri"/>
          <w:b/>
          <w:color w:val="1E293B"/>
          <w:sz w:val="19"/>
        </w:rPr>
        <w:t>Amnesty International (Munitions &amp; ATT Briefing — August 24, 2018):</w:t>
      </w:r>
      <w:r>
        <w:rPr>
          <w:rFonts w:ascii="Calibri" w:hAnsi="Calibri"/>
          <w:color w:val="1E293B"/>
          <w:sz w:val="19"/>
        </w:rPr>
        <w:t xml:space="preserve"> Technical ballistics analysis proving that deploying a 500-lb blast warhead in an open-air civilian marketplace constitutes an inherently disproportionate attack;</w:t>
      </w:r>
    </w:p>
    <w:p>
      <w:pPr>
        <w:spacing w:before="40" w:after="60"/>
        <w:ind w:left="432"/>
      </w:pPr>
      <w:r>
        <w:rPr>
          <w:b/>
          <w:sz w:val="19"/>
        </w:rPr>
        <w:t xml:space="preserve">5. </w:t>
      </w:r>
      <w:r>
        <w:rPr>
          <w:rFonts w:ascii="Calibri" w:hAnsi="Calibri"/>
          <w:b/>
          <w:color w:val="1E293B"/>
          <w:sz w:val="19"/>
        </w:rPr>
        <w:t>Mwatana for Human Rights &amp; Columbia Law School Human Rights Institute (*Day of Judgment*, March 2019, pp. 64–72):</w:t>
      </w:r>
      <w:r>
        <w:rPr>
          <w:rFonts w:ascii="Calibri" w:hAnsi="Calibri"/>
          <w:color w:val="1E293B"/>
          <w:sz w:val="19"/>
        </w:rPr>
        <w:t xml:space="preserve"> Ground-level trauma and surgical registry reconstruction from Al-Talh and Al-Jumhori hospitals; detailed corporate legal liability of US arms manufacturers;</w:t>
      </w:r>
    </w:p>
    <w:p>
      <w:pPr>
        <w:spacing w:before="40" w:after="60"/>
        <w:ind w:left="432"/>
      </w:pPr>
      <w:r>
        <w:rPr>
          <w:b/>
          <w:sz w:val="19"/>
        </w:rPr>
        <w:t xml:space="preserve">6. </w:t>
      </w:r>
      <w:r>
        <w:rPr>
          <w:rFonts w:ascii="Calibri" w:hAnsi="Calibri"/>
          <w:b/>
          <w:color w:val="1E293B"/>
          <w:sz w:val="19"/>
        </w:rPr>
        <w:t>Joint Incident Assessment Team (JIAT Press Conference Concession — September 1, 2018):</w:t>
      </w:r>
      <w:r>
        <w:rPr>
          <w:rFonts w:ascii="Calibri" w:hAnsi="Calibri"/>
          <w:color w:val="1E293B"/>
          <w:sz w:val="19"/>
        </w:rPr>
        <w:t xml:space="preserve"> Formal belligerent concession by Coalition Legal Advisor Mansour Al-Mansour admitting the strike was "unjustified", conceded an operational delay caused target expiration, admitted failure to abort upon entering a civilian market, and recommended criminal discipline and victim redress.</w:t>
      </w:r>
    </w:p>
    <w:p>
      <w:pPr>
        <w:spacing w:before="80" w:after="80"/>
        <w:jc w:val="center"/>
      </w:pPr>
      <w:r>
        <w:rPr>
          <w:color w:val="CBD5E1"/>
        </w:rPr>
        <w:t>————————————————————————————————</w:t>
      </w:r>
    </w:p>
    <w:p>
      <w:pPr>
        <w:spacing w:before="320" w:after="80"/>
      </w:pPr>
      <w:r>
        <w:rPr>
          <w:rFonts w:ascii="Calibri" w:hAnsi="Calibri"/>
          <w:b/>
          <w:color w:val="0F172A"/>
          <w:sz w:val="30"/>
        </w:rPr>
        <w:t>EXHIBIT SERIES UN: UNITED NATIONS INTERGOVERNMENTAL FACT-FINDING ARCHIVE</w:t>
      </w:r>
    </w:p>
    <w:p>
      <w:pPr>
        <w:spacing w:before="200" w:after="60"/>
      </w:pPr>
      <w:r>
        <w:rPr>
          <w:rFonts w:ascii="Calibri" w:hAnsi="Calibri"/>
          <w:b/>
          <w:color w:val="334155"/>
          <w:sz w:val="22"/>
        </w:rPr>
        <w:t>EXH-UN-008.1: Independent International Fact-Finding Mission on the Islamic Republic of Iran Report (UN Doc. A/HRC/63/61 — September 17, 2026)</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Report of the Independent International Fact-Finding Mission on the Islamic Republic of Iran, presented to the United Nations Human Rights Council at its 63rd Regular Session (mandated under HRC Resolution S-39/1).</w:t>
      </w:r>
    </w:p>
    <w:p>
      <w:pPr>
        <w:pStyle w:val="ListBullet"/>
        <w:spacing w:before="20" w:after="40"/>
      </w:pPr>
      <w:r>
        <w:rPr>
          <w:rFonts w:ascii="Calibri" w:hAnsi="Calibri"/>
          <w:b/>
          <w:color w:val="1E293B"/>
          <w:sz w:val="19"/>
        </w:rPr>
        <w:t>Authentic UN Symbol &amp; Reference:</w:t>
      </w:r>
      <w:r>
        <w:rPr>
          <w:rFonts w:ascii="Calibri" w:hAnsi="Calibri"/>
          <w:color w:val="1E293B"/>
          <w:sz w:val="19"/>
        </w:rPr>
        <w:t xml:space="preserve"> </w:t>
      </w:r>
      <w:r>
        <w:rPr>
          <w:rFonts w:ascii="Consolas" w:hAnsi="Consolas"/>
          <w:color w:val="831843"/>
          <w:sz w:val="18"/>
        </w:rPr>
        <w:t>UN Doc. A/HRC/63/61</w:t>
      </w:r>
      <w:r>
        <w:rPr>
          <w:rFonts w:ascii="Calibri" w:hAnsi="Calibri"/>
          <w:color w:val="1E293B"/>
          <w:sz w:val="19"/>
        </w:rPr>
        <w:t xml:space="preserve"> (</w:t>
      </w:r>
      <w:r>
        <w:rPr>
          <w:rFonts w:ascii="Calibri" w:hAnsi="Calibri"/>
          <w:i/>
          <w:color w:val="1E293B"/>
          <w:sz w:val="19"/>
        </w:rPr>
        <w:t>Advance Edited Version: a-hrc-63-61-aev.pdf</w:t>
      </w:r>
      <w:r>
        <w:rPr>
          <w:rFonts w:ascii="Calibri" w:hAnsi="Calibri"/>
          <w:color w:val="1E293B"/>
          <w:sz w:val="19"/>
        </w:rPr>
        <w:t>).</w:t>
      </w:r>
    </w:p>
    <w:p>
      <w:pPr>
        <w:pStyle w:val="ListBullet"/>
        <w:spacing w:before="20" w:after="40"/>
      </w:pPr>
      <w:r>
        <w:rPr>
          <w:rFonts w:ascii="Calibri" w:hAnsi="Calibri"/>
          <w:b/>
          <w:color w:val="1E293B"/>
          <w:sz w:val="19"/>
        </w:rPr>
        <w:t>Core Intergovernmental Findings Catalogued:</w:t>
      </w:r>
    </w:p>
    <w:p>
      <w:pPr>
        <w:spacing w:before="40" w:after="60"/>
        <w:ind w:left="432"/>
      </w:pPr>
      <w:r>
        <w:rPr>
          <w:b/>
          <w:sz w:val="19"/>
        </w:rPr>
        <w:t xml:space="preserve">1. </w:t>
      </w:r>
      <w:r>
        <w:rPr>
          <w:rFonts w:ascii="Calibri" w:hAnsi="Calibri"/>
          <w:b/>
          <w:color w:val="1E293B"/>
          <w:sz w:val="19"/>
        </w:rPr>
        <w:t>War Crimes Determination:</w:t>
      </w:r>
      <w:r>
        <w:rPr>
          <w:rFonts w:ascii="Calibri" w:hAnsi="Calibri"/>
          <w:color w:val="1E293B"/>
          <w:sz w:val="19"/>
        </w:rPr>
        <w:t xml:space="preserve"> Formally concluded under the "reasonable grounds to believe" standard that the United States committed </w:t>
      </w:r>
      <w:r>
        <w:rPr>
          <w:rFonts w:ascii="Calibri" w:hAnsi="Calibri"/>
          <w:b/>
          <w:color w:val="1E293B"/>
          <w:sz w:val="19"/>
        </w:rPr>
        <w:t>war crimes</w:t>
      </w:r>
      <w:r>
        <w:rPr>
          <w:rFonts w:ascii="Calibri" w:hAnsi="Calibri"/>
          <w:color w:val="1E293B"/>
          <w:sz w:val="19"/>
        </w:rPr>
        <w:t xml:space="preserve"> during kinetic operations in Iran on February 28, 2026;</w:t>
      </w:r>
    </w:p>
    <w:p>
      <w:pPr>
        <w:spacing w:before="40" w:after="60"/>
        <w:ind w:left="432"/>
      </w:pPr>
      <w:r>
        <w:rPr>
          <w:b/>
          <w:sz w:val="19"/>
        </w:rPr>
        <w:t xml:space="preserve">2. </w:t>
      </w:r>
      <w:r>
        <w:rPr>
          <w:rFonts w:ascii="Calibri" w:hAnsi="Calibri"/>
          <w:b/>
          <w:color w:val="1E293B"/>
          <w:sz w:val="19"/>
        </w:rPr>
        <w:t>Minab School Strike (Shajareh Tayyebeh):</w:t>
      </w:r>
      <w:r>
        <w:rPr>
          <w:rFonts w:ascii="Calibri" w:hAnsi="Calibri"/>
          <w:color w:val="1E293B"/>
          <w:sz w:val="19"/>
        </w:rPr>
        <w:t xml:space="preserve"> Established that US armed forces launched an </w:t>
      </w:r>
      <w:r>
        <w:rPr>
          <w:rFonts w:ascii="Calibri" w:hAnsi="Calibri"/>
          <w:b/>
          <w:color w:val="1E293B"/>
          <w:sz w:val="19"/>
        </w:rPr>
        <w:t>unlawful indiscriminate attack</w:t>
      </w:r>
      <w:r>
        <w:rPr>
          <w:rFonts w:ascii="Calibri" w:hAnsi="Calibri"/>
          <w:color w:val="1E293B"/>
          <w:sz w:val="19"/>
        </w:rPr>
        <w:t xml:space="preserve"> against the Shajareh Tayyebeh Primary School in Minab, resulting in over 120 verified child fatalities and the deaths of educators and civilian staff;</w:t>
      </w:r>
    </w:p>
    <w:p>
      <w:pPr>
        <w:spacing w:before="40" w:after="60"/>
        <w:ind w:left="432"/>
      </w:pPr>
      <w:r>
        <w:rPr>
          <w:b/>
          <w:sz w:val="19"/>
        </w:rPr>
        <w:t xml:space="preserve">3. </w:t>
      </w:r>
      <w:r>
        <w:rPr>
          <w:rFonts w:ascii="Calibri" w:hAnsi="Calibri"/>
          <w:b/>
          <w:color w:val="1E293B"/>
          <w:sz w:val="19"/>
        </w:rPr>
        <w:t>Protected Civilian Sanctuary:</w:t>
      </w:r>
      <w:r>
        <w:rPr>
          <w:rFonts w:ascii="Calibri" w:hAnsi="Calibri"/>
          <w:color w:val="1E293B"/>
          <w:sz w:val="19"/>
        </w:rPr>
        <w:t xml:space="preserve"> Confirmed that the school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personnel or legitimate military utility;</w:t>
      </w:r>
    </w:p>
    <w:p>
      <w:pPr>
        <w:spacing w:before="40" w:after="60"/>
        <w:ind w:left="432"/>
      </w:pPr>
      <w:r>
        <w:rPr>
          <w:b/>
          <w:sz w:val="19"/>
        </w:rPr>
        <w:t xml:space="preserve">4. </w:t>
      </w:r>
      <w:r>
        <w:rPr>
          <w:rFonts w:ascii="Calibri" w:hAnsi="Calibri"/>
          <w:b/>
          <w:color w:val="1E293B"/>
          <w:sz w:val="19"/>
        </w:rPr>
        <w:t>Reckless Failure of Feasible Precautions:</w:t>
      </w:r>
      <w:r>
        <w:rPr>
          <w:rFonts w:ascii="Calibri" w:hAnsi="Calibri"/>
          <w:color w:val="1E293B"/>
          <w:sz w:val="19"/>
        </w:rPr>
        <w:t xml:space="preserve"> Determined that US forces breached their affirmative legal duty under Additional Protocol I, Article 57, by relying upon unverified historical entries in targeting databases without conducting real-time verification before striking.</w:t>
      </w:r>
    </w:p>
    <w:p>
      <w:pPr>
        <w:spacing w:before="200" w:after="60"/>
      </w:pPr>
      <w:r>
        <w:rPr>
          <w:rFonts w:ascii="Calibri" w:hAnsi="Calibri"/>
          <w:b/>
          <w:color w:val="334155"/>
          <w:sz w:val="22"/>
        </w:rPr>
        <w:t>EXH-UN-008.2: UN Group of Eminent Experts on Yemen Report (UN Doc. A/HRC/42/17 &amp; A/HRC/42/CRP.1 — Case 15 Benchmark)</w:t>
      </w:r>
    </w:p>
    <w:p>
      <w:pPr>
        <w:pStyle w:val="ListBullet"/>
        <w:spacing w:before="20" w:after="40"/>
      </w:pPr>
      <w:r>
        <w:rPr>
          <w:rFonts w:ascii="Calibri" w:hAnsi="Calibri"/>
          <w:b/>
          <w:color w:val="1E293B"/>
          <w:sz w:val="19"/>
        </w:rPr>
        <w:t>Description:</w:t>
      </w:r>
      <w:r>
        <w:rPr>
          <w:rFonts w:ascii="Calibri" w:hAnsi="Calibri"/>
          <w:color w:val="1E293B"/>
          <w:sz w:val="19"/>
        </w:rPr>
        <w:t xml:space="preserve"> Intergovernmental findings and legal determinations of the United Nations Group of Eminent International and Regional Experts on Yemen (UN GEE) presented to the Human Rights Council at its 42nd Session, providing the controlling UN jurisprudence on school conveyance strikes and feasible precautions under Additional Protocol I, Article 57.</w:t>
      </w:r>
    </w:p>
    <w:p>
      <w:pPr>
        <w:pStyle w:val="ListBullet"/>
        <w:spacing w:before="20" w:after="40"/>
      </w:pPr>
      <w:r>
        <w:rPr>
          <w:rFonts w:ascii="Calibri" w:hAnsi="Calibri"/>
          <w:b/>
          <w:color w:val="1E293B"/>
          <w:sz w:val="19"/>
        </w:rPr>
        <w:t>Authentic UN Symbols &amp; Official References:</w:t>
      </w:r>
    </w:p>
    <w:p>
      <w:pPr>
        <w:pStyle w:val="ListBullet"/>
        <w:spacing w:before="20" w:after="40"/>
        <w:ind w:left="576"/>
      </w:pPr>
      <w:r>
        <w:rPr>
          <w:rFonts w:ascii="Calibri" w:hAnsi="Calibri"/>
          <w:color w:val="1E293B"/>
          <w:sz w:val="19"/>
        </w:rPr>
        <w:t xml:space="preserve">Primary Report: </w:t>
      </w:r>
      <w:r>
        <w:rPr>
          <w:rFonts w:ascii="Consolas" w:hAnsi="Consolas"/>
          <w:color w:val="831843"/>
          <w:sz w:val="18"/>
        </w:rPr>
        <w:t>UN Doc. A/HRC/42/17</w:t>
      </w:r>
      <w:r>
        <w:rPr>
          <w:rFonts w:ascii="Calibri" w:hAnsi="Calibri"/>
          <w:color w:val="1E293B"/>
          <w:sz w:val="19"/>
        </w:rPr>
        <w:t xml:space="preserve"> (September 2019, paras 25, 30, 82);</w:t>
      </w:r>
    </w:p>
    <w:p>
      <w:pPr>
        <w:pStyle w:val="ListBullet"/>
        <w:spacing w:before="20" w:after="40"/>
        <w:ind w:left="576"/>
      </w:pPr>
      <w:r>
        <w:rPr>
          <w:rFonts w:ascii="Calibri" w:hAnsi="Calibri"/>
          <w:color w:val="1E293B"/>
          <w:sz w:val="19"/>
        </w:rPr>
        <w:t xml:space="preserve">Detailed Factual Findings: </w:t>
      </w:r>
      <w:r>
        <w:rPr>
          <w:rFonts w:ascii="Consolas" w:hAnsi="Consolas"/>
          <w:color w:val="831843"/>
          <w:sz w:val="18"/>
        </w:rPr>
        <w:t>UN Doc. A/HRC/42/CRP.1</w:t>
      </w:r>
      <w:r>
        <w:rPr>
          <w:rFonts w:ascii="Calibri" w:hAnsi="Calibri"/>
          <w:color w:val="1E293B"/>
          <w:sz w:val="19"/>
        </w:rPr>
        <w:t xml:space="preserve"> (September 2019, paras 449–450, 896–905);</w:t>
      </w:r>
    </w:p>
    <w:p>
      <w:pPr>
        <w:pStyle w:val="ListBullet"/>
        <w:spacing w:before="20" w:after="40"/>
        <w:ind w:left="576"/>
      </w:pPr>
      <w:r>
        <w:rPr>
          <w:rFonts w:ascii="Calibri" w:hAnsi="Calibri"/>
          <w:color w:val="1E293B"/>
          <w:sz w:val="19"/>
        </w:rPr>
        <w:t xml:space="preserve">UN Security Council Child &amp; Armed Conflict Record: </w:t>
      </w:r>
      <w:r>
        <w:rPr>
          <w:rFonts w:ascii="Consolas" w:hAnsi="Consolas"/>
          <w:color w:val="831843"/>
          <w:sz w:val="18"/>
        </w:rPr>
        <w:t>UN Doc. A/73/907–S/2019/509</w:t>
      </w:r>
      <w:r>
        <w:rPr>
          <w:rFonts w:ascii="Calibri" w:hAnsi="Calibri"/>
          <w:color w:val="1E293B"/>
          <w:sz w:val="19"/>
        </w:rPr>
        <w:t xml:space="preserve"> (paras 176–192).</w:t>
      </w:r>
    </w:p>
    <w:p>
      <w:pPr>
        <w:pStyle w:val="ListBullet"/>
        <w:spacing w:before="20" w:after="40"/>
      </w:pPr>
      <w:r>
        <w:rPr>
          <w:rFonts w:ascii="Calibri" w:hAnsi="Calibri"/>
          <w:b/>
          <w:color w:val="1E293B"/>
          <w:sz w:val="19"/>
        </w:rPr>
        <w:t>Core Intergovernmental Legal Precedents Catalogued:</w:t>
      </w:r>
    </w:p>
    <w:p>
      <w:pPr>
        <w:spacing w:before="40" w:after="60"/>
        <w:ind w:left="432"/>
      </w:pPr>
      <w:r>
        <w:rPr>
          <w:b/>
          <w:sz w:val="19"/>
        </w:rPr>
        <w:t xml:space="preserve">1. </w:t>
      </w:r>
      <w:r>
        <w:rPr>
          <w:rFonts w:ascii="Calibri" w:hAnsi="Calibri"/>
          <w:b/>
          <w:color w:val="1E293B"/>
          <w:sz w:val="19"/>
        </w:rPr>
        <w:t>Strict Presumption of Civilian Status (A/HRC/42/17, para 25):</w:t>
      </w:r>
      <w:r>
        <w:rPr>
          <w:rFonts w:ascii="Calibri" w:hAnsi="Calibri"/>
          <w:color w:val="1E293B"/>
          <w:sz w:val="19"/>
        </w:rPr>
        <w:t xml:space="preserve"> The UN GEE affirmed that school transports and educational cohorts retain unconditional civilian protection under Additional Protocol I, Article 52(3), precluding belligerent assertions of military target status absent direct participation in hostilities;</w:t>
      </w:r>
    </w:p>
    <w:p>
      <w:pPr>
        <w:spacing w:before="40" w:after="60"/>
        <w:ind w:left="432"/>
      </w:pPr>
      <w:r>
        <w:rPr>
          <w:b/>
          <w:sz w:val="19"/>
        </w:rPr>
        <w:t xml:space="preserve">2. </w:t>
      </w:r>
      <w:r>
        <w:rPr>
          <w:rFonts w:ascii="Calibri" w:hAnsi="Calibri"/>
          <w:b/>
          <w:color w:val="1E293B"/>
          <w:sz w:val="19"/>
        </w:rPr>
        <w:t>Affirmative Verification Duty in Broad Daylight (A/HRC/42/CRP.1, paras 449–450):</w:t>
      </w:r>
      <w:r>
        <w:rPr>
          <w:rFonts w:ascii="Calibri" w:hAnsi="Calibri"/>
          <w:color w:val="1E293B"/>
          <w:sz w:val="19"/>
        </w:rPr>
        <w:t xml:space="preserve"> Held that executing a precision airstrike in broad daylight in an open civilian market when optical sensors have uninterrupted observation of children constitutes a reckless abandonment of the duty to take all feasible precautions under AP I Article 57(2)(a);</w:t>
      </w:r>
    </w:p>
    <w:p>
      <w:pPr>
        <w:spacing w:before="40" w:after="60"/>
        <w:ind w:left="432"/>
      </w:pPr>
      <w:r>
        <w:rPr>
          <w:b/>
          <w:sz w:val="19"/>
        </w:rPr>
        <w:t xml:space="preserve">3. </w:t>
      </w:r>
      <w:r>
        <w:rPr>
          <w:rFonts w:ascii="Calibri" w:hAnsi="Calibri"/>
          <w:b/>
          <w:color w:val="1E293B"/>
          <w:sz w:val="19"/>
        </w:rPr>
        <w:t>The Absolute Duty to Abort Strike Chains (A/HRC/42/CRP.1, paras 896–898):</w:t>
      </w:r>
      <w:r>
        <w:rPr>
          <w:rFonts w:ascii="Calibri" w:hAnsi="Calibri"/>
          <w:color w:val="1E293B"/>
          <w:sz w:val="19"/>
        </w:rPr>
        <w:t xml:space="preserve"> Established that the obligation under AP I Article 57(2)(b) to cancel or suspend an attack is non-discretionary the moment it becomes apparent that the objective is civilian or disproportionate—a standard directly applicable to CENTCOM's failure to abort missiles 2 and 3 in the Minab triple-tap sequence;</w:t>
      </w:r>
    </w:p>
    <w:p>
      <w:pPr>
        <w:spacing w:before="40" w:after="60"/>
        <w:ind w:left="432"/>
      </w:pPr>
      <w:r>
        <w:rPr>
          <w:b/>
          <w:sz w:val="19"/>
        </w:rPr>
        <w:t xml:space="preserve">4. </w:t>
      </w:r>
      <w:r>
        <w:rPr>
          <w:rFonts w:ascii="Calibri" w:hAnsi="Calibri"/>
          <w:b/>
          <w:color w:val="1E293B"/>
          <w:sz w:val="19"/>
        </w:rPr>
        <w:t>Categorical War Crime Determination (A/HRC/42/17, para 82):</w:t>
      </w:r>
      <w:r>
        <w:rPr>
          <w:rFonts w:ascii="Calibri" w:hAnsi="Calibri"/>
          <w:color w:val="1E293B"/>
          <w:sz w:val="19"/>
        </w:rPr>
        <w:t xml:space="preserve"> Formally determined reasonable grounds to believe that launching a precision-guided munition into a concentrated group of schoolchildren constitutes the war crime of intentionally launching an indiscriminate or disproportionate attack under customary international law and Rome Statute Article 8(2)(b)(iv).</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2026-10-24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