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2026-10-10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Benchmarks:</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Belgrade Chinese Embassy Precedent</w:t>
      </w:r>
      <w:r>
        <w:rPr>
          <w:rFonts w:ascii="Calibri" w:hAnsi="Calibri"/>
          <w:i/>
          <w:color w:val="334155"/>
          <w:sz w:val="19"/>
        </w:rPr>
        <w:t>, ¶¶ 80–85); European Court of Human Rights Canonical Aerial Bombardment Landmarks (</w:t>
      </w:r>
      <w:r>
        <w:rPr>
          <w:rFonts w:ascii="Calibri" w:hAnsi="Calibri"/>
          <w:i/>
          <w:color w:val="334155"/>
          <w:sz w:val="19"/>
        </w:rPr>
        <w:t>Isayeva v. Russia</w:t>
      </w:r>
      <w:r>
        <w:rPr>
          <w:rFonts w:ascii="Calibri" w:hAnsi="Calibri"/>
          <w:i/>
          <w:color w:val="334155"/>
          <w:sz w:val="19"/>
        </w:rPr>
        <w:t xml:space="preserve">, App. 57950/00; </w:t>
      </w:r>
      <w:r>
        <w:rPr>
          <w:rFonts w:ascii="Calibri" w:hAnsi="Calibri"/>
          <w:i/>
          <w:color w:val="334155"/>
          <w:sz w:val="19"/>
        </w:rPr>
        <w:t>Isayeva, Yusupova and Bazayeva v. Russia</w:t>
      </w:r>
      <w:r>
        <w:rPr>
          <w:rFonts w:ascii="Calibri" w:hAnsi="Calibri"/>
          <w:i/>
          <w:color w:val="334155"/>
          <w:sz w:val="19"/>
        </w:rPr>
        <w:t xml:space="preserve">, App. 57947/00)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ind w:left="576"/>
      </w:pPr>
      <w:r>
        <w:rPr>
          <w:rFonts w:ascii="Calibri" w:hAnsi="Calibri"/>
          <w:color w:val="2563EB"/>
          <w:sz w:val="19"/>
          <w:u w:val="single"/>
        </w:rPr>
        <w:t>1.4 Comparative Jurisprudential Framework: Title-by-Title Precedential Integration (*The Isayeva Benchmarks*)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&amp; Physical Environment of the School</w:t>
      </w:r>
    </w:p>
    <w:p>
      <w:pPr>
        <w:pStyle w:val="ListBullet"/>
        <w:spacing w:before="20" w:after="40"/>
        <w:ind w:left="576"/>
      </w:pPr>
      <w:r>
        <w:rPr>
          <w:rFonts w:ascii="Calibri" w:hAnsi="Calibri"/>
          <w:color w:val="2563EB"/>
          <w:sz w:val="19"/>
          <w:u w:val="single"/>
        </w:rPr>
        <w:t>4.2 Historical Status, Civilian Conversion &amp; The 2016 Concrete Partition Wall</w:t>
      </w:r>
    </w:p>
    <w:p>
      <w:pPr>
        <w:pStyle w:val="ListBullet"/>
        <w:spacing w:before="20" w:after="40"/>
        <w:ind w:left="576"/>
      </w:pPr>
      <w:r>
        <w:rPr>
          <w:rFonts w:ascii="Calibri" w:hAnsi="Calibri"/>
          <w:color w:val="2563EB"/>
          <w:sz w:val="19"/>
          <w:u w:val="single"/>
        </w:rPr>
        <w:t>4.3 Operational Chronology: The Morning Academic Session</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Casualty Census, Demographic Matrix &amp; Physical Devastation</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 and</w:t>
      </w:r>
    </w:p>
    <w:p>
      <w:pPr>
        <w:pStyle w:val="ListBullet"/>
        <w:spacing w:before="20" w:after="40"/>
        <w:ind w:left="576"/>
      </w:pPr>
      <w:r>
        <w:rPr>
          <w:rFonts w:ascii="Calibri" w:hAnsi="Calibri"/>
          <w:color w:val="1E293B"/>
          <w:sz w:val="19"/>
        </w:rPr>
        <w:t xml:space="preserve">(iv) The canonical jurisprudence of the </w:t>
      </w:r>
      <w:r>
        <w:rPr>
          <w:rFonts w:ascii="Calibri" w:hAnsi="Calibri"/>
          <w:b/>
          <w:color w:val="1E293B"/>
          <w:sz w:val="19"/>
        </w:rPr>
        <w:t>European Court of Human Rights (ECtHR)</w:t>
      </w:r>
      <w:r>
        <w:rPr>
          <w:rFonts w:ascii="Calibri" w:hAnsi="Calibri"/>
          <w:color w:val="1E293B"/>
          <w:sz w:val="19"/>
        </w:rPr>
        <w:t xml:space="preserve"> on kinetic aerial bombardment and the Right to Life under Article 2 ECHR, specifically the twin landmark judgments rendered on 24 February 2005: </w:t>
      </w:r>
      <w:r>
        <w:rPr>
          <w:rFonts w:ascii="Calibri" w:hAnsi="Calibri"/>
          <w:b/>
          <w:color w:val="1E293B"/>
          <w:sz w:val="19"/>
        </w:rPr>
        <w:t>Case 03: *Isayeva v. Russia</w:t>
      </w:r>
      <w:r>
        <w:rPr>
          <w:rFonts w:ascii="Calibri" w:hAnsi="Calibri"/>
          <w:i/>
          <w:color w:val="1E293B"/>
          <w:sz w:val="19"/>
        </w:rPr>
        <w:t xml:space="preserve"> (Katyr-Yurt Bombing, Application no. 57950/00; HUDOC [001-68381](https://hudoc.echr.coe.int/eng?i=001-68381)) and </w:t>
      </w:r>
      <w:r>
        <w:rPr>
          <w:rFonts w:ascii="Calibri" w:hAnsi="Calibri"/>
          <w:i/>
          <w:color w:val="1E293B"/>
          <w:sz w:val="19"/>
        </w:rPr>
        <w:t xml:space="preserve">Case 19: </w:t>
      </w:r>
      <w:r>
        <w:rPr>
          <w:rFonts w:ascii="Calibri" w:hAnsi="Calibri"/>
          <w:color w:val="1E293B"/>
          <w:sz w:val="19"/>
        </w:rPr>
        <w:t>Isayeva, Yusupova and Bazayeva v. Russia</w:t>
      </w:r>
      <w:r>
        <w:rPr>
          <w:rFonts w:ascii="Calibri" w:hAnsi="Calibri"/>
          <w:i/>
          <w:color w:val="1E293B"/>
          <w:sz w:val="19"/>
        </w:rPr>
      </w:r>
      <w:r>
        <w:rPr>
          <w:rFonts w:ascii="Calibri" w:hAnsi="Calibri"/>
          <w:color w:val="1E293B"/>
          <w:sz w:val="19"/>
        </w:rPr>
        <w:t xml:space="preserve">* (Shaami-Yurt Refugee Convoy Strike, Applications nos. 57947/00, 57948/00, and 57949/00; HUDOC </w:t>
      </w:r>
      <w:r>
        <w:rPr>
          <w:rFonts w:ascii="Calibri" w:hAnsi="Calibri"/>
          <w:color w:val="2563EB"/>
          <w:sz w:val="19"/>
          <w:u w:val="single"/>
        </w:rPr>
        <w:t>001-68379</w:t>
      </w:r>
      <w:r>
        <w:rPr>
          <w:rFonts w:ascii="Calibri" w:hAnsi="Calibri"/>
          <w:color w:val="1E293B"/>
          <w:sz w:val="19"/>
        </w:rPr>
        <w:t>).</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200" w:after="60"/>
      </w:pPr>
      <w:r>
        <w:rPr>
          <w:rFonts w:ascii="Calibri" w:hAnsi="Calibri"/>
          <w:b/>
          <w:color w:val="334155"/>
          <w:sz w:val="22"/>
        </w:rPr>
        <w:t>1.4 Comparative Jurisprudential Framework: Title-by-Title Precedential Integration (*The Isayeva Benchmarks*)</w:t>
      </w:r>
    </w:p>
    <w:p>
      <w:pPr>
        <w:spacing w:before="40" w:after="80" w:line="276" w:lineRule="auto"/>
      </w:pPr>
      <w:r>
        <w:rPr>
          <w:rFonts w:ascii="Calibri" w:hAnsi="Calibri"/>
          <w:color w:val="1E293B"/>
          <w:sz w:val="20"/>
        </w:rPr>
        <w:t xml:space="preserve">8 bis. To ensure that this Determination satisfies the highest standard of international judicial rigor, the Panel formally benchmarks its factual and legal determinations against the canonical jurisprudence of the European Court of Human Rights (ECtHR) governing kinetic aerial strikes. On February 24, 2005, the ECtHR delivered its twin landmark judgments on aerial bombardment in Chechnya: </w:t>
      </w:r>
      <w:r>
        <w:rPr>
          <w:rFonts w:ascii="Calibri" w:hAnsi="Calibri"/>
          <w:b/>
          <w:i/>
          <w:color w:val="1E293B"/>
          <w:sz w:val="20"/>
        </w:rPr>
        <w:t xml:space="preserve">Isayeva v. Russia* (Katyr-Yurt, App. no. 57950/00)** and </w:t>
      </w:r>
      <w:r>
        <w:rPr>
          <w:rFonts w:ascii="Calibri" w:hAnsi="Calibri"/>
          <w:color w:val="1E293B"/>
          <w:sz w:val="20"/>
        </w:rPr>
        <w:t>Isayeva, Yusupova and Bazayeva v. Russia</w:t>
      </w:r>
      <w:r>
        <w:rPr>
          <w:rFonts w:ascii="Calibri" w:hAnsi="Calibri"/>
          <w:i/>
          <w:color w:val="1E293B"/>
          <w:sz w:val="20"/>
        </w:rPr>
        <w:t xml:space="preserve"> (Shaami-Yurt Convoy, App. nos. 57947/00, 57948/00, and 57949/00)</w:t>
      </w:r>
      <w:r>
        <w:rPr>
          <w:rFonts w:ascii="Calibri" w:hAnsi="Calibri"/>
          <w:color w:val="1E293B"/>
          <w:sz w:val="20"/>
        </w:rPr>
        <w:t>*. Together, these judgments establish the definitive international legal standards governing state liability for kinetic aerial operations in populated areas under the Right to Life (ECHR Article 2).</w:t>
      </w:r>
    </w:p>
    <w:p>
      <w:pPr>
        <w:spacing w:before="40" w:after="80" w:line="276" w:lineRule="auto"/>
      </w:pPr>
      <w:r>
        <w:rPr>
          <w:rFonts w:ascii="Calibri" w:hAnsi="Calibri"/>
          <w:color w:val="1E293B"/>
          <w:sz w:val="20"/>
        </w:rPr>
        <w:t xml:space="preserve">8 ter. The legal findings articulated in </w:t>
      </w:r>
      <w:r>
        <w:rPr>
          <w:rFonts w:ascii="Calibri" w:hAnsi="Calibri"/>
          <w:b/>
          <w:color w:val="1E293B"/>
          <w:sz w:val="20"/>
        </w:rPr>
        <w:t>*Isayeva, Yusupova and Bazayeva v. Russia* (HUDOC 001-68379)</w:t>
      </w:r>
      <w:r>
        <w:rPr>
          <w:rFonts w:ascii="Calibri" w:hAnsi="Calibri"/>
          <w:color w:val="1E293B"/>
          <w:sz w:val="20"/>
        </w:rPr>
        <w:t xml:space="preserve"> converge directly with every substantive title of this Master Dossier, as set forth in the comparative architecture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Precedential Dimension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Holdings in *Isayeva, Yusupova &amp; Bazayeva* (ECtHR 2005)</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Correlative in Minab Elementary School Strike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Master Dossier Incorporation &amp; Location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 Rebuttal of "Dynamic Target" &amp; "Sudden Appearance" Defenses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Rejects state defense that civilians "suddenly appeared" or were obscured near target; holds that daylight, low flight passes, and extended duration make civilian presence unmistakable (§§ 192–194).</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Ten-year-old operational primary school operating during regular Saturday morning classes cannot be excused as an unexpected dynamic presence.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6.3 (¶ 70 bis)](#chapter-6-3)</w:t>
            </w:r>
            <w:r>
              <w:rPr>
                <w:rFonts w:ascii="Calibri" w:hAnsi="Calibri"/>
                <w:color w:val="1E293B"/>
                <w:sz w:val="17"/>
              </w:rPr>
              <w:t>: Rebuttal of Coordinate Error Defense</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 Precautionary "Planning &amp; Control" Standard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State liability under Article 2 turns upon whether operations were planned and controlled to minimise risk to life; institutional siloing between civilian movements and air planners constitutes gross negligence (§§ 171, 186–189, 199).</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and DIA operated on stale pre-2016 intelligence silos, eliminated civilian harm mitigation analysts (10 down to 1), and bypassed forward verification.</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7.2 (¶ 81 ter)](#chapter-7-2)</w:t>
            </w:r>
            <w:r>
              <w:rPr>
                <w:rFonts w:ascii="Calibri" w:hAnsi="Calibri"/>
                <w:color w:val="1E293B"/>
                <w:sz w:val="17"/>
              </w:rPr>
              <w:t>: Affirmative Duty to Take Feasible Precautions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III. Weapons Disproportionality in Civilian Sanctuaries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Firing twelve heavy S-24 blast-fragmentation missiles (blast radius 300–800m) into a civilian roadway is inherently disproportionate, rendering slaughter mathematically certain (§§ 195, 199).</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Detonating three 1,000-lb WDU-36/B warheads (casualty radius &gt; 300m) exactly 42m from an active school makes child slaughter mathematically inevitable.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7.3 (¶¶ 83–83 bis)](#chapter-7-3)</w:t>
            </w:r>
            <w:r>
              <w:rPr>
                <w:rFonts w:ascii="Calibri" w:hAnsi="Calibri"/>
                <w:color w:val="1E293B"/>
                <w:sz w:val="17"/>
              </w:rPr>
              <w:t>: Principle of Proportionality (</w:t>
            </w:r>
            <w:r>
              <w:rPr>
                <w:rFonts w:ascii="Calibri" w:hAnsi="Calibri"/>
                <w:i/>
                <w:color w:val="1E293B"/>
                <w:sz w:val="17"/>
              </w:rPr>
              <w:t>The Isayeva Jurisprudence</w:t>
            </w:r>
            <w:r>
              <w:rPr>
                <w:rFonts w:ascii="Calibri" w:hAnsi="Calibri"/>
                <w:color w:val="1E293B"/>
                <w:sz w:val="17"/>
              </w:rPr>
              <w: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IV. Upstream Concentration of Culpability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Exonerates tactical pilots who executed assigned flight orders; concentrates 100% of state and operational responsibility upstream upon mission planners and commanders (§§ 171, 187–188, 199–200).</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Naval launch crews aboard USS </w:t>
            </w:r>
            <w:r>
              <w:rPr>
                <w:rFonts w:ascii="Calibri" w:hAnsi="Calibri"/>
                <w:i/>
                <w:color w:val="1E293B"/>
                <w:sz w:val="17"/>
              </w:rPr>
              <w:t>Abraham Lincoln</w:t>
            </w:r>
            <w:r>
              <w:rPr>
                <w:rFonts w:ascii="Calibri" w:hAnsi="Calibri"/>
                <w:color w:val="1E293B"/>
                <w:sz w:val="17"/>
              </w:rPr>
              <w:t xml:space="preserve"> bear zero culpability; liability concentrates entirely upstream on DIA nominators, CENTCOM Target Review Boards, and AI pipeline supervisors.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8.1 (¶ 88 bis)](#chapter-8-1)</w:t>
            </w:r>
            <w:r>
              <w:rPr>
                <w:rFonts w:ascii="Calibri" w:hAnsi="Calibri"/>
                <w:color w:val="1E293B"/>
                <w:sz w:val="17"/>
              </w:rPr>
              <w:t>: Upstream Concentration of Liability (NATO § 85 Principle)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 Autonomous Procedural Duty to Investigate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autonomous, non-derogable procedural criteria for lethal force inquiries: promptness, independence, command record review, and victim participation; self-exonerating military probes breach Art. 2 (§§ 208–225).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CENTCOM’s internal AR 15-6 review concealed targeting logs and excluded victims, activating the subsidiary jurisdiction of European universal jurisdiction magistrates.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IX, § 9.3 (¶ 94 bis)](#chapter-9-3)</w:t>
            </w:r>
            <w:r>
              <w:rPr>
                <w:rFonts w:ascii="Calibri" w:hAnsi="Calibri"/>
                <w:color w:val="1E293B"/>
                <w:sz w:val="17"/>
              </w:rPr>
              <w:t>: European Detachable Procedural Obligation (</w:t>
            </w:r>
            <w:r>
              <w:rPr>
                <w:rFonts w:ascii="Calibri" w:hAnsi="Calibri"/>
                <w:i/>
                <w:color w:val="1E293B"/>
                <w:sz w:val="17"/>
              </w:rPr>
              <w:t>Hanan</w:t>
            </w:r>
            <w:r>
              <w:rPr>
                <w:rFonts w:ascii="Calibri" w:hAnsi="Calibri"/>
                <w:color w:val="1E293B"/>
                <w:sz w:val="17"/>
              </w:rPr>
              <w:t xml:space="preserve"> &amp; </w:t>
            </w:r>
            <w:r>
              <w:rPr>
                <w:rFonts w:ascii="Calibri" w:hAnsi="Calibri"/>
                <w:i/>
                <w:color w:val="1E293B"/>
                <w:sz w:val="17"/>
              </w:rPr>
              <w:t>Isayeva</w:t>
            </w:r>
            <w:r>
              <w:rPr>
                <w:rFonts w:ascii="Calibri" w:hAnsi="Calibri"/>
                <w:color w:val="1E293B"/>
                <w:sz w:val="17"/>
              </w:rPr>
              <w:t>)</w:t>
            </w:r>
          </w:p>
        </w:tc>
      </w:tr>
    </w:tbl>
    <w:p>
      <w:pPr>
        <w:spacing w:after="120"/>
      </w:pPr>
    </w:p>
    <w:p>
      <w:pPr>
        <w:spacing w:before="40" w:after="80" w:line="276" w:lineRule="auto"/>
      </w:pPr>
      <w:r>
        <w:rPr>
          <w:rFonts w:ascii="Calibri" w:hAnsi="Calibri"/>
          <w:color w:val="1E293B"/>
          <w:sz w:val="20"/>
        </w:rPr>
        <w:t xml:space="preserve">8 quater. </w:t>
      </w:r>
      <w:r>
        <w:rPr>
          <w:rFonts w:ascii="Calibri" w:hAnsi="Calibri"/>
          <w:b/>
          <w:color w:val="1E293B"/>
          <w:sz w:val="20"/>
        </w:rPr>
        <w:t>Title-by-Title Legal Development Across the Master Dossier:</w:t>
      </w:r>
    </w:p>
    <w:p>
      <w:pPr>
        <w:pStyle w:val="ListBullet"/>
        <w:spacing w:before="20" w:after="40"/>
      </w:pPr>
      <w:r>
        <w:rPr>
          <w:rFonts w:ascii="Calibri" w:hAnsi="Calibri"/>
          <w:b/>
          <w:color w:val="1E293B"/>
          <w:sz w:val="19"/>
        </w:rPr>
        <w:t>(1) Title: Chapter VI, Section 6.3 — Rebuttal of the "Dynamic Target" &amp; "Sudden Civilian Emergence" Defense ([¶ 70 bis](#chapter-6-3)):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the Respondent State attempted to explain away the destruction of a refugee convoy by arguing that the pilots only targeted two combatant vehicles, and that civilian vehicles emerged into the blast zone after launch or were used as human shields (§ 30). The Court rejected this claim as factually impossible and legally "insurmountable" (§ 192), noting that the pilots flew multiple passes in broad daylight over several hours and could not have failed to perceive the dense civilian traffic (§ 194). In Minab, this precedent legally defeats any assertion that the presence of 156 children and educators was an "unforeseen collateral contingency" or that students entered the blast zone dynamically. The Shajareh Tayyebeh school was an immutable, ten-year-old municipal landmark whose presence was permanently visible.</w:t>
      </w:r>
    </w:p>
    <w:p>
      <w:pPr>
        <w:pStyle w:val="ListBullet"/>
        <w:spacing w:before="20" w:after="40"/>
      </w:pPr>
      <w:r>
        <w:rPr>
          <w:rFonts w:ascii="Calibri" w:hAnsi="Calibri"/>
          <w:b/>
          <w:color w:val="1E293B"/>
          <w:sz w:val="19"/>
        </w:rPr>
        <w:t>(2) Title: Chapter VII, Section 7.2 — The "Planning and Control" Precautionary Standard &amp; Institutional Siloing ([¶ 81 ter](#chapter-7-2)):</w:t>
      </w:r>
      <w:r>
        <w:rPr>
          <w:rFonts w:ascii="Calibri" w:hAnsi="Calibri"/>
          <w:color w:val="1E293B"/>
          <w:sz w:val="19"/>
        </w:rPr>
        <w:t xml:space="preserve"> In §§ 171, 187, and 199 of the judgment, the ECtHR established that the duty of care in armed operations is not measured solely at the point of release, but governs the entire administrative and operational architecture of the strike. The Court found a flagrant breach of the positive obligation to protect life because the military authorities who declared a safe corridor and the checkpoint officers who ordered civilians back onto the road never communicated with the air force planners who scheduled combat sorties (§§ 185–187). This institutional blindness directly mirrors the targeting pathology in Minab: while secondary intelligence records noted the conversion of the school in 2016, CENTCOM’s operational kill chain was isolated in obsolete databases, accelerated by automated Maven-Claude algorithms, and stripped of independent civilian harm mitigation oversight (slashing the CHMR unit from 10 analysts to one).</w:t>
      </w:r>
    </w:p>
    <w:p>
      <w:pPr>
        <w:pStyle w:val="ListBullet"/>
        <w:spacing w:before="20" w:after="40"/>
      </w:pPr>
      <w:r>
        <w:rPr>
          <w:rFonts w:ascii="Calibri" w:hAnsi="Calibri"/>
          <w:b/>
          <w:color w:val="1E293B"/>
          <w:sz w:val="19"/>
        </w:rPr>
        <w:t>(3) Title: Chapter VII, Section 7.3 — Weapons Disproportionality &amp; Inappropriate Munitions Blast Envelopes ([¶¶ 83–83 bis](#chapter-7-3)):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Court held that deploying twelve heavy unguided S-24 missiles (each carrying 123 kg of high explosives, creating over 4,000 fragments across a lethal dispersal radius of 300 to 800 metres) against targets located among or adjacent to civilians was disproportionate </w:t>
      </w:r>
      <w:r>
        <w:rPr>
          <w:rFonts w:ascii="Calibri" w:hAnsi="Calibri"/>
          <w:i/>
          <w:color w:val="1E293B"/>
          <w:sz w:val="19"/>
        </w:rPr>
        <w:t>per se</w:t>
      </w:r>
      <w:r>
        <w:rPr>
          <w:rFonts w:ascii="Calibri" w:hAnsi="Calibri"/>
          <w:color w:val="1E293B"/>
          <w:sz w:val="19"/>
        </w:rPr>
        <w:t xml:space="preserve"> (§§ 195, 199). Fused with the companion ruling in </w:t>
      </w:r>
      <w:r>
        <w:rPr>
          <w:rFonts w:ascii="Calibri" w:hAnsi="Calibri"/>
          <w:i/>
          <w:color w:val="1E293B"/>
          <w:sz w:val="19"/>
        </w:rPr>
        <w:t>Isayeva v. Russia</w:t>
      </w:r>
      <w:r>
        <w:rPr>
          <w:rFonts w:ascii="Calibri" w:hAnsi="Calibri"/>
          <w:color w:val="1E293B"/>
          <w:sz w:val="19"/>
        </w:rPr>
        <w:t xml:space="preserve"> (Katyr-Yurt, §§ 189–191) concerning FAB-250 and FAB-500 bombs, the unified </w:t>
      </w:r>
      <w:r>
        <w:rPr>
          <w:rFonts w:ascii="Calibri" w:hAnsi="Calibri"/>
          <w:i/>
          <w:color w:val="1E293B"/>
          <w:sz w:val="19"/>
        </w:rPr>
        <w:t>Isayeva</w:t>
      </w:r>
      <w:r>
        <w:rPr>
          <w:rFonts w:ascii="Calibri" w:hAnsi="Calibri"/>
          <w:color w:val="1E293B"/>
          <w:sz w:val="19"/>
        </w:rPr>
        <w:t xml:space="preserve"> doctrine establishes that deploying heavy blast-fragmentation munitions within the lethal radius of a civilian concentration violates the right to life as a matter of law. In Minab, detonating three 1,000-lb WDU-36/B unitary warheads (each containing 195 kg of PBXN-109 high explosive with a 300-metre casualty envelope) exactly 42 metres from an active elementary school made the mass death of 156 civilians mathematically inevitable, far exceeding any conceivable military advantage under AP I Article 51(5)(b).</w:t>
      </w:r>
    </w:p>
    <w:p>
      <w:pPr>
        <w:pStyle w:val="ListBullet"/>
        <w:spacing w:before="20" w:after="40"/>
      </w:pPr>
      <w:r>
        <w:rPr>
          <w:rFonts w:ascii="Calibri" w:hAnsi="Calibri"/>
          <w:b/>
          <w:color w:val="1E293B"/>
          <w:sz w:val="19"/>
        </w:rPr>
        <w:t>(4) Title: Chapter VIII, Section 8.1 — Upstream Concentration of Culpability &amp; Exoneration of Tactical Operators ([¶ 88 bis](#chapter-8-1)):</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domestic Russian military prosecution terminated criminal proceedings against the individual pilots ("Ivanov" and "Petrov") on the basis that they had simply carried out assigned flight orders and responded to ground direction (§§ 38–40). The ECtHR did not overturn this finding to demand the conviction of the tactical aircrew; rather, it held that legal responsibility attached to the commanding authorities who planned and directed the mission without verifying the target (§§ 171, 199–200). This provides authoritative European human rights endorsement for the ICTY NATO Report § 85 principle: the tactical naval launch crews aboard the USS </w:t>
      </w:r>
      <w:r>
        <w:rPr>
          <w:rFonts w:ascii="Calibri" w:hAnsi="Calibri"/>
          <w:i/>
          <w:color w:val="1E293B"/>
          <w:sz w:val="19"/>
        </w:rPr>
        <w:t>Abraham Lincoln</w:t>
      </w:r>
      <w:r>
        <w:rPr>
          <w:rFonts w:ascii="Calibri" w:hAnsi="Calibri"/>
          <w:color w:val="1E293B"/>
          <w:sz w:val="19"/>
        </w:rPr>
        <w:t xml:space="preserve"> bear zero legal culpability, while 100% of the institutional, criminal, and state culpability concentrates upstream upon the intelligence nominators, database managers, and targeting review boards.</w:t>
      </w:r>
    </w:p>
    <w:p>
      <w:pPr>
        <w:pStyle w:val="ListBullet"/>
        <w:spacing w:before="20" w:after="40"/>
      </w:pPr>
      <w:r>
        <w:rPr>
          <w:rFonts w:ascii="Calibri" w:hAnsi="Calibri"/>
          <w:b/>
          <w:color w:val="1E293B"/>
          <w:sz w:val="19"/>
        </w:rPr>
        <w:t>(5) Title: Chapter IX, Section 9.3 — Autonomous European Detachable Procedural Duty to Investigate ([¶ 94 bis](#chapter-9-3)):</w:t>
      </w:r>
      <w:r>
        <w:rPr>
          <w:rFonts w:ascii="Calibri" w:hAnsi="Calibri"/>
          <w:color w:val="1E293B"/>
          <w:sz w:val="19"/>
        </w:rPr>
        <w:t xml:space="preserve"> In §§ 208–225 of the judgment, the ECtHR articulated the canonical criteria governing the procedural obligation under Article 2 to investigate lethal military strikes. The Court condemned the domestic investigation because: (i) it was delayed for months despite public Red Cross notifications (§§ 215–218); (ii) it failed to secure mission flight logs, operations record books, or orders from senior commanders (§§ 220–222); (iii) it closed proceedings based on identical, self-serving military witness statements without independent verification (§§ 39–40, 179); and (iv) it excluded the victims and their families from meaningful participation (§ 224). CENTCOM’s internal AR 15-6 review into Minab replicates every defect condemned in </w:t>
      </w:r>
      <w:r>
        <w:rPr>
          <w:rFonts w:ascii="Calibri" w:hAnsi="Calibri"/>
          <w:i/>
          <w:color w:val="1E293B"/>
          <w:sz w:val="19"/>
        </w:rPr>
        <w:t>Isayeva</w:t>
      </w:r>
      <w:r>
        <w:rPr>
          <w:rFonts w:ascii="Calibri" w:hAnsi="Calibri"/>
          <w:color w:val="1E293B"/>
          <w:sz w:val="19"/>
        </w:rPr>
        <w:t>, thereby failing to satisfy international standards and triggering the subsidiary procedural jurisdiction of European universal jurisdiction authorities in Finland (</w:t>
      </w:r>
      <w:r>
        <w:rPr>
          <w:rFonts w:ascii="Calibri" w:hAnsi="Calibri"/>
          <w:i/>
          <w:color w:val="1E293B"/>
          <w:sz w:val="19"/>
        </w:rPr>
        <w:t>Rikoslaki</w:t>
      </w:r>
      <w:r>
        <w:rPr>
          <w:rFonts w:ascii="Calibri" w:hAnsi="Calibri"/>
          <w:color w:val="1E293B"/>
          <w:sz w:val="19"/>
        </w:rPr>
        <w:t xml:space="preserve"> Ch. 11) and Germany (</w:t>
      </w:r>
      <w:r>
        <w:rPr>
          <w:rFonts w:ascii="Calibri" w:hAnsi="Calibri"/>
          <w:i/>
          <w:color w:val="1E293B"/>
          <w:sz w:val="19"/>
        </w:rPr>
        <w:t>VStGB</w:t>
      </w:r>
      <w:r>
        <w:rPr>
          <w:rFonts w:ascii="Calibri" w:hAnsi="Calibri"/>
          <w:color w:val="1E293B"/>
          <w:sz w:val="19"/>
        </w:rPr>
        <w:t xml:space="preserve">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&amp; Physical Environment of the School</w:t>
      </w:r>
    </w:p>
    <w:p>
      <w:pPr>
        <w:spacing w:before="40" w:after="60"/>
        <w:ind w:left="432"/>
      </w:pPr>
      <w:r>
        <w:rPr>
          <w:b/>
          <w:sz w:val="19"/>
        </w:rPr>
        <w:t xml:space="preserve">39. </w:t>
      </w:r>
      <w:r>
        <w:rPr>
          <w:rFonts w:ascii="Calibri" w:hAnsi="Calibri"/>
          <w:color w:val="1E293B"/>
          <w:sz w:val="19"/>
        </w:rPr>
        <w:t>The Shajareh Tayyebeh Girls' Elementary School (</w:t>
      </w:r>
      <w:r>
        <w:rPr>
          <w:rFonts w:ascii="Calibri" w:hAnsi="Calibri"/>
          <w:i/>
          <w:color w:val="1E293B"/>
          <w:sz w:val="19"/>
        </w:rPr>
        <w:t>Dabestan-e Dokhtaraneh Shajareh Tayyebeh</w:t>
      </w:r>
      <w:r>
        <w:rPr>
          <w:rFonts w:ascii="Calibri" w:hAnsi="Calibri"/>
          <w:color w:val="1E293B"/>
          <w:sz w:val="19"/>
        </w:rPr>
        <w:t>) is situated along the east side of Shahid Beheshti Boulevard in the Taleghani residential neighborhood of Minab, Hormozgan Province, Iran (</w:t>
      </w:r>
      <w:r>
        <w:rPr>
          <w:rFonts w:ascii="Consolas" w:hAnsi="Consolas"/>
          <w:color w:val="831843"/>
          <w:sz w:val="18"/>
        </w:rPr>
        <w:t>27.1352° N, 57.0805° E</w:t>
      </w:r>
      <w:r>
        <w:rPr>
          <w:rFonts w:ascii="Calibri" w:hAnsi="Calibri"/>
          <w:color w:val="1E293B"/>
          <w:sz w:val="19"/>
        </w:rPr>
        <w:t>).</w:t>
      </w:r>
    </w:p>
    <w:p>
      <w:pPr>
        <w:spacing w:before="40" w:after="60"/>
        <w:ind w:left="432"/>
      </w:pPr>
      <w:r>
        <w:rPr>
          <w:b/>
          <w:sz w:val="19"/>
        </w:rPr>
        <w:t xml:space="preserve">40. </w:t>
      </w:r>
      <w:r>
        <w:rPr>
          <w:rFonts w:ascii="Calibri" w:hAnsi="Calibri"/>
          <w:color w:val="1E293B"/>
          <w:sz w:val="19"/>
        </w:rPr>
        <w:t>The facility comprised a two-story reinforced concrete and brick classroom building (approx. 1,450 sq. meters of floor space), an enclosed asphalt courtyard with children's play equipment and sports markings, and an administrative wing housing offices for educators and administrative staff.</w:t>
      </w:r>
    </w:p>
    <w:p>
      <w:pPr>
        <w:spacing w:before="200" w:after="60"/>
      </w:pPr>
      <w:r>
        <w:rPr>
          <w:rFonts w:ascii="Calibri" w:hAnsi="Calibri"/>
          <w:b/>
          <w:color w:val="334155"/>
          <w:sz w:val="22"/>
        </w:rPr>
        <w:t>4.2 Historical Status, Civilian Conversion &amp; The 2016 Concrete Partition Wall</w:t>
      </w:r>
    </w:p>
    <w:p>
      <w:pPr>
        <w:spacing w:before="40" w:after="60"/>
        <w:ind w:left="432"/>
      </w:pPr>
      <w:r>
        <w:rPr>
          <w:b/>
          <w:sz w:val="19"/>
        </w:rPr>
        <w:t xml:space="preserve">41. </w:t>
      </w:r>
      <w:r>
        <w:rPr>
          <w:rFonts w:ascii="Calibri" w:hAnsi="Calibri"/>
          <w:color w:val="1E293B"/>
          <w:sz w:val="19"/>
        </w:rPr>
        <w:t>Historical spatial analysis (</w:t>
      </w:r>
      <w:r>
        <w:rPr>
          <w:rFonts w:ascii="Calibri" w:hAnsi="Calibri"/>
          <w:color w:val="2563EB"/>
          <w:sz w:val="19"/>
          <w:u w:val="single"/>
        </w:rPr>
        <w:t>EXH-SAT-001</w:t>
      </w:r>
      <w:r>
        <w:rPr>
          <w:rFonts w:ascii="Calibri" w:hAnsi="Calibri"/>
          <w:color w:val="1E293B"/>
          <w:sz w:val="19"/>
        </w:rPr>
        <w:t>) confirms that prior to 2016, the parcel formed part of the outer administrative buffer zone of an IRGC Naval Logistics Base.</w:t>
      </w:r>
    </w:p>
    <w:p>
      <w:pPr>
        <w:spacing w:before="40" w:after="60"/>
        <w:ind w:left="432"/>
      </w:pPr>
      <w:r>
        <w:rPr>
          <w:b/>
          <w:sz w:val="19"/>
        </w:rPr>
        <w:t xml:space="preserve">42. </w:t>
      </w:r>
      <w:r>
        <w:rPr>
          <w:rFonts w:ascii="Calibri" w:hAnsi="Calibri"/>
          <w:color w:val="1E293B"/>
          <w:sz w:val="19"/>
        </w:rPr>
        <w:t xml:space="preserve">However, satellite imagery and municipal records prove that between </w:t>
      </w:r>
      <w:r>
        <w:rPr>
          <w:rFonts w:ascii="Calibri" w:hAnsi="Calibri"/>
          <w:b/>
          <w:color w:val="1E293B"/>
          <w:sz w:val="19"/>
        </w:rPr>
        <w:t>February and August 2016</w:t>
      </w:r>
      <w:r>
        <w:rPr>
          <w:rFonts w:ascii="Calibri" w:hAnsi="Calibri"/>
          <w:color w:val="1E293B"/>
          <w:sz w:val="19"/>
        </w:rPr>
        <w:t>, the parcel underwent a comprehensive, permanent physical transformation:</w:t>
      </w:r>
    </w:p>
    <w:p>
      <w:pPr>
        <w:pStyle w:val="ListBullet"/>
        <w:spacing w:before="20" w:after="40"/>
        <w:ind w:left="576"/>
      </w:pPr>
      <w:r>
        <w:rPr>
          <w:rFonts w:ascii="Calibri" w:hAnsi="Calibri"/>
          <w:b/>
          <w:color w:val="1E293B"/>
          <w:sz w:val="19"/>
        </w:rPr>
        <w:t>Physical Partition:</w:t>
      </w:r>
      <w:r>
        <w:rPr>
          <w:rFonts w:ascii="Calibri" w:hAnsi="Calibri"/>
          <w:color w:val="1E293B"/>
          <w:sz w:val="19"/>
        </w:rPr>
        <w:t xml:space="preserve"> A continuous, 2.8-meter-high reinforced concrete masonry wall was constructed, completely walling off the school parcel from the adjacent naval compound;</w:t>
      </w:r>
    </w:p>
    <w:p>
      <w:pPr>
        <w:pStyle w:val="ListBullet"/>
        <w:spacing w:before="20" w:after="40"/>
        <w:ind w:left="576"/>
      </w:pPr>
      <w:r>
        <w:rPr>
          <w:rFonts w:ascii="Calibri" w:hAnsi="Calibri"/>
          <w:b/>
          <w:color w:val="1E293B"/>
          <w:sz w:val="19"/>
        </w:rPr>
        <w:t>Independent Access:</w:t>
      </w:r>
      <w:r>
        <w:rPr>
          <w:rFonts w:ascii="Calibri" w:hAnsi="Calibri"/>
          <w:color w:val="1E293B"/>
          <w:sz w:val="19"/>
        </w:rPr>
        <w:t xml:space="preserve"> The original military gates were demolished, and a civilian public entrance was constructed facing west toward Shahid Beheshti Boulevard;</w:t>
      </w:r>
    </w:p>
    <w:p>
      <w:pPr>
        <w:pStyle w:val="ListBullet"/>
        <w:spacing w:before="20" w:after="40"/>
        <w:ind w:left="576"/>
      </w:pPr>
      <w:r>
        <w:rPr>
          <w:rFonts w:ascii="Calibri" w:hAnsi="Calibri"/>
          <w:b/>
          <w:color w:val="1E293B"/>
          <w:sz w:val="19"/>
        </w:rPr>
        <w:t>Public Registration:</w:t>
      </w:r>
      <w:r>
        <w:rPr>
          <w:rFonts w:ascii="Calibri" w:hAnsi="Calibri"/>
          <w:color w:val="1E293B"/>
          <w:sz w:val="19"/>
        </w:rPr>
        <w:t xml:space="preserve"> The school was transferred to the Iranian Ministry of Education, received official administrative licensing, and served as the primary public elementary school for girls in the district for </w:t>
      </w:r>
      <w:r>
        <w:rPr>
          <w:rFonts w:ascii="Calibri" w:hAnsi="Calibri"/>
          <w:b/>
          <w:color w:val="1E293B"/>
          <w:sz w:val="19"/>
        </w:rPr>
        <w:t>ten consecutive academic years (2016–2026)</w:t>
      </w:r>
      <w:r>
        <w:rPr>
          <w:rFonts w:ascii="Calibri" w:hAnsi="Calibri"/>
          <w:color w:val="1E293B"/>
          <w:sz w:val="19"/>
        </w:rPr>
        <w:t>.</w:t>
      </w:r>
    </w:p>
    <w:p>
      <w:pPr>
        <w:spacing w:before="40" w:after="60"/>
        <w:ind w:left="432"/>
      </w:pPr>
      <w:r>
        <w:rPr>
          <w:b/>
          <w:sz w:val="19"/>
        </w:rPr>
        <w:t xml:space="preserve">43. </w:t>
      </w:r>
      <w:r>
        <w:rPr>
          <w:rFonts w:ascii="Calibri" w:hAnsi="Calibri"/>
          <w:color w:val="1E293B"/>
          <w:sz w:val="19"/>
        </w:rPr>
        <w:t>The nearest military structure inside the active naval base, a single-story logistics auxiliary storage building (</w:t>
      </w:r>
      <w:r>
        <w:rPr>
          <w:rFonts w:ascii="Consolas" w:hAnsi="Consolas"/>
          <w:color w:val="831843"/>
          <w:sz w:val="18"/>
        </w:rPr>
        <w:t>27.1360° N, 57.0818° E</w:t>
      </w:r>
      <w:r>
        <w:rPr>
          <w:rFonts w:ascii="Calibri" w:hAnsi="Calibri"/>
          <w:color w:val="1E293B"/>
          <w:sz w:val="19"/>
        </w:rPr>
        <w:t xml:space="preserve">), stood </w:t>
      </w:r>
      <w:r>
        <w:rPr>
          <w:rFonts w:ascii="Calibri" w:hAnsi="Calibri"/>
          <w:b/>
          <w:color w:val="1E293B"/>
          <w:sz w:val="19"/>
        </w:rPr>
        <w:t>42 meters</w:t>
      </w:r>
      <w:r>
        <w:rPr>
          <w:rFonts w:ascii="Calibri" w:hAnsi="Calibri"/>
          <w:color w:val="1E293B"/>
          <w:sz w:val="19"/>
        </w:rPr>
        <w:t xml:space="preserve"> north of the school's boundary wall.</w:t>
      </w:r>
    </w:p>
    <w:p>
      <w:pPr>
        <w:spacing w:before="200" w:after="60"/>
      </w:pPr>
      <w:r>
        <w:rPr>
          <w:rFonts w:ascii="Calibri" w:hAnsi="Calibri"/>
          <w:b/>
          <w:color w:val="334155"/>
          <w:sz w:val="22"/>
        </w:rPr>
        <w:t>4.3 Operational Chronology: The Morning Academic Session</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day of the instructional school week throughout the Islamic Republic of Iran.</w:t>
      </w:r>
    </w:p>
    <w:p>
      <w:pPr>
        <w:spacing w:before="40" w:after="60"/>
        <w:ind w:left="432"/>
      </w:pPr>
      <w:r>
        <w:rPr>
          <w:b/>
          <w:sz w:val="19"/>
        </w:rPr>
        <w:t xml:space="preserve">45. </w:t>
      </w:r>
      <w:r>
        <w:rPr>
          <w:rFonts w:ascii="Calibri" w:hAnsi="Calibri"/>
          <w:color w:val="1E293B"/>
          <w:sz w:val="19"/>
        </w:rPr>
        <w:t>By 08:30 IRST, morning assembly had concluded, and instructional classes were in active session across all eight primary classrooms on the ground and second floors. A total of 168 individuals were present inside the compound, including 138 registered female students aged 7 to 12, 22 teachers and administrators, and 8 civilian support personnel.</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Verified video recordings, regional seismic monitors, and survivor witness accounts establish the precise sequence of the attack:</w:t>
      </w:r>
    </w:p>
    <w:p>
      <w:pPr>
        <w:pStyle w:val="ListBullet"/>
        <w:spacing w:before="20" w:after="40"/>
        <w:ind w:left="576"/>
      </w:pPr>
      <w:r>
        <w:rPr>
          <w:rFonts w:ascii="Calibri" w:hAnsi="Calibri"/>
          <w:b/>
          <w:color w:val="1E293B"/>
          <w:sz w:val="19"/>
        </w:rPr>
        <w:t>09:22:15 IRST (Impact 1):</w:t>
      </w:r>
      <w:r>
        <w:rPr>
          <w:rFonts w:ascii="Calibri" w:hAnsi="Calibri"/>
          <w:color w:val="1E293B"/>
          <w:sz w:val="19"/>
        </w:rPr>
        <w:t xml:space="preserve"> The initial BGM-109 Tomahawk cruise missile penetrated the roof of the central classroom building and detonated in the upper-story hallway. The explosive blast collapsed the second-floor reinforced slab onto ground-floor classrooms, triggering catastrophic structural pancaking;</w:t>
      </w:r>
    </w:p>
    <w:p>
      <w:pPr>
        <w:pStyle w:val="ListBullet"/>
        <w:spacing w:before="20" w:after="40"/>
        <w:ind w:left="576"/>
      </w:pPr>
      <w:r>
        <w:rPr>
          <w:rFonts w:ascii="Calibri" w:hAnsi="Calibri"/>
          <w:b/>
          <w:color w:val="1E293B"/>
          <w:sz w:val="19"/>
        </w:rPr>
        <w:t>09:24:30 IRST (Impact 2):</w:t>
      </w:r>
      <w:r>
        <w:rPr>
          <w:rFonts w:ascii="Calibri" w:hAnsi="Calibri"/>
          <w:color w:val="1E293B"/>
          <w:sz w:val="19"/>
        </w:rPr>
        <w:t xml:space="preserve"> Approximately 135 seconds later, a second Tomahawk struck the western wing of the building, destroying the primary exterior escape stairwell and killing escaping students and teachers;</w:t>
      </w:r>
    </w:p>
    <w:p>
      <w:pPr>
        <w:pStyle w:val="ListBullet"/>
        <w:spacing w:before="20" w:after="40"/>
        <w:ind w:left="576"/>
      </w:pPr>
      <w:r>
        <w:rPr>
          <w:rFonts w:ascii="Calibri" w:hAnsi="Calibri"/>
          <w:b/>
          <w:color w:val="1E293B"/>
          <w:sz w:val="19"/>
        </w:rPr>
        <w:t>09:26:40 IRST (Impact 3):</w:t>
      </w:r>
      <w:r>
        <w:rPr>
          <w:rFonts w:ascii="Calibri" w:hAnsi="Calibri"/>
          <w:color w:val="1E293B"/>
          <w:sz w:val="19"/>
        </w:rPr>
        <w:t xml:space="preserve"> Exactly 130 seconds after the second strike, a third missile struck the center of the schoolyard assembly ground, spraying lethal shrapnel across the open evacuation area.</w:t>
      </w:r>
    </w:p>
    <w:p>
      <w:pPr>
        <w:spacing w:before="40" w:after="60"/>
        <w:ind w:left="432"/>
      </w:pPr>
      <w:r>
        <w:rPr>
          <w:b/>
          <w:sz w:val="19"/>
        </w:rPr>
        <w:t xml:space="preserve">47. </w:t>
      </w:r>
      <w:r>
        <w:rPr>
          <w:rFonts w:ascii="Calibri" w:hAnsi="Calibri"/>
          <w:color w:val="1E293B"/>
          <w:sz w:val="19"/>
        </w:rPr>
        <w:t xml:space="preserve">The execution of a </w:t>
      </w:r>
      <w:r>
        <w:rPr>
          <w:rFonts w:ascii="Calibri" w:hAnsi="Calibri"/>
          <w:b/>
          <w:color w:val="1E293B"/>
          <w:sz w:val="19"/>
        </w:rPr>
        <w:t>triple-tap kinetic salvo</w:t>
      </w:r>
      <w:r>
        <w:rPr>
          <w:rFonts w:ascii="Calibri" w:hAnsi="Calibri"/>
          <w:color w:val="1E293B"/>
          <w:sz w:val="19"/>
        </w:rPr>
        <w:t xml:space="preserve"> against a single geographic coordinate refutes any hypothesis of random guidance malfunction or anomalous mechanical drift. The missiles executed their pre-programmed trajectory with complete fidelity.</w:t>
      </w:r>
    </w:p>
    <w:p>
      <w:pPr>
        <w:spacing w:before="200" w:after="60"/>
      </w:pPr>
      <w:r>
        <w:rPr>
          <w:rFonts w:ascii="Calibri" w:hAnsi="Calibri"/>
          <w:b/>
          <w:color w:val="334155"/>
          <w:sz w:val="22"/>
        </w:rPr>
        <w:t>4.5 Casualty Census, Demographic Matrix &amp; Physical Devastation</w:t>
      </w:r>
    </w:p>
    <w:p>
      <w:pPr>
        <w:spacing w:before="40" w:after="60"/>
        <w:ind w:left="432"/>
      </w:pPr>
      <w:r>
        <w:rPr>
          <w:b/>
          <w:sz w:val="19"/>
        </w:rPr>
        <w:t xml:space="preserve">48. </w:t>
      </w:r>
      <w:r>
        <w:rPr>
          <w:rFonts w:ascii="Calibri" w:hAnsi="Calibri"/>
          <w:color w:val="1E293B"/>
          <w:sz w:val="19"/>
        </w:rPr>
        <w:t>Forensic medicine documentation (</w:t>
      </w:r>
      <w:r>
        <w:rPr>
          <w:rFonts w:ascii="Calibri" w:hAnsi="Calibri"/>
          <w:color w:val="2563EB"/>
          <w:sz w:val="19"/>
          <w:u w:val="single"/>
        </w:rPr>
        <w:t>EXH-VIC-005</w:t>
      </w:r>
      <w:r>
        <w:rPr>
          <w:rFonts w:ascii="Calibri" w:hAnsi="Calibri"/>
          <w:color w:val="1E293B"/>
          <w:sz w:val="19"/>
        </w:rPr>
        <w:t>) confirms a devastating civilian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students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Adult Fatalities:</w:t>
      </w:r>
      <w:r>
        <w:rPr>
          <w:rFonts w:ascii="Calibri" w:hAnsi="Calibri"/>
          <w:color w:val="1E293B"/>
          <w:sz w:val="19"/>
        </w:rPr>
        <w:t xml:space="preserve"> </w:t>
      </w:r>
      <w:r>
        <w:rPr>
          <w:rFonts w:ascii="Calibri" w:hAnsi="Calibri"/>
          <w:b/>
          <w:color w:val="1E293B"/>
          <w:sz w:val="19"/>
        </w:rPr>
        <w:t>26 educators, instructors, and school administrators</w:t>
      </w:r>
      <w:r>
        <w:rPr>
          <w:rFonts w:ascii="Calibri" w:hAnsi="Calibri"/>
          <w:color w:val="1E293B"/>
          <w:sz w:val="19"/>
        </w:rPr>
        <w:t xml:space="preserve">, and </w:t>
      </w:r>
      <w:r>
        <w:rPr>
          <w:rFonts w:ascii="Calibri" w:hAnsi="Calibri"/>
          <w:b/>
          <w:color w:val="1E293B"/>
          <w:sz w:val="19"/>
        </w:rPr>
        <w:t>10 civilian support personnel</w:t>
      </w:r>
      <w:r>
        <w:rPr>
          <w:rFonts w:ascii="Calibri" w:hAnsi="Calibri"/>
          <w:color w:val="1E293B"/>
          <w:sz w:val="19"/>
        </w:rPr>
        <w:t>;</w:t>
      </w:r>
    </w:p>
    <w:p>
      <w:pPr>
        <w:pStyle w:val="ListBullet"/>
        <w:spacing w:before="20" w:after="40"/>
        <w:ind w:left="576"/>
      </w:pPr>
      <w:r>
        <w:rPr>
          <w:rFonts w:ascii="Calibri" w:hAnsi="Calibri"/>
          <w:b/>
          <w:color w:val="1E293B"/>
          <w:sz w:val="19"/>
        </w:rPr>
        <w:t>Wounded Survivors:</w:t>
      </w:r>
      <w:r>
        <w:rPr>
          <w:rFonts w:ascii="Calibri" w:hAnsi="Calibri"/>
          <w:color w:val="1E293B"/>
          <w:sz w:val="19"/>
        </w:rPr>
        <w:t xml:space="preserve"> </w:t>
      </w:r>
      <w:r>
        <w:rPr>
          <w:rFonts w:ascii="Calibri" w:hAnsi="Calibri"/>
          <w:b/>
          <w:color w:val="1E293B"/>
          <w:sz w:val="19"/>
        </w:rPr>
        <w:t>95+ individuals</w:t>
      </w:r>
      <w:r>
        <w:rPr>
          <w:rFonts w:ascii="Calibri" w:hAnsi="Calibri"/>
          <w:color w:val="1E293B"/>
          <w:sz w:val="19"/>
        </w:rPr>
        <w:t xml:space="preserve"> sustaining severe, life-altering injuries, including traumatic brain injuries, traumatic bilateral limb amputations, third-degree blast burns, and irreversible blindness;</w:t>
      </w:r>
    </w:p>
    <w:p>
      <w:pPr>
        <w:pStyle w:val="ListBullet"/>
        <w:spacing w:before="20" w:after="40"/>
        <w:ind w:left="576"/>
      </w:pPr>
      <w:r>
        <w:rPr>
          <w:rFonts w:ascii="Calibri" w:hAnsi="Calibri"/>
          <w:b/>
          <w:color w:val="1E293B"/>
          <w:sz w:val="19"/>
        </w:rPr>
        <w:t>Infrastructural Annihilation:</w:t>
      </w:r>
      <w:r>
        <w:rPr>
          <w:rFonts w:ascii="Calibri" w:hAnsi="Calibri"/>
          <w:color w:val="1E293B"/>
          <w:sz w:val="19"/>
        </w:rPr>
        <w:t xml:space="preserve"> 100% destruction of the central classroom wing, producing an impact crater 6.2 meters in diameter and 2.8 meters deep.</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w:t>
      </w:r>
      <w:r>
        <w:rPr>
          <w:rFonts w:ascii="Calibri" w:hAnsi="Calibri"/>
          <w:color w:val="2563EB"/>
          <w:sz w:val="19"/>
          <w:u w:val="single"/>
        </w:rPr>
        <w:t>EXH-MUN-002</w:t>
      </w:r>
      <w:r>
        <w:rPr>
          <w:rFonts w:ascii="Calibri" w:hAnsi="Calibri"/>
          <w:color w:val="1E293B"/>
          <w:sz w:val="19"/>
        </w:rPr>
        <w:t>)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w:t>
      </w:r>
      <w:r>
        <w:rPr>
          <w:rFonts w:ascii="Calibri" w:hAnsi="Calibri"/>
          <w:color w:val="2563EB"/>
          <w:sz w:val="19"/>
          <w:u w:val="single"/>
        </w:rPr>
        <w:t>EXH-LAUNCH-003</w:t>
      </w:r>
      <w:r>
        <w:rPr>
          <w:rFonts w:ascii="Calibri" w:hAnsi="Calibri"/>
          <w:color w:val="1E293B"/>
          <w:sz w:val="19"/>
        </w:rPr>
        <w:t>)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and expands upon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In the August 29, 2021 Kabul strike, US drone operators tracked civilian Zemari Ahmadi, interpreting water jugs as explosives due to confirmation bias. The Air Force IG found that analysts systematically filtered out contradictory civilian evidence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them—constitutes gross organizational negligence, willful blindness, and an intentional abdication of the non-delegable duty of positive target identification.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In </w:t>
      </w:r>
      <w:r>
        <w:rPr>
          <w:rFonts w:ascii="Calibri" w:hAnsi="Calibri"/>
          <w:b/>
          <w:color w:val="1E293B"/>
          <w:sz w:val="19"/>
        </w:rPr>
        <w:t>Case 04: *Al-Jina Mosque Strike* (UN Commission of Inquiry on Syria, 2017, A/HRC/36/55)</w:t>
      </w:r>
      <w:r>
        <w:rPr>
          <w:rFonts w:ascii="Calibri" w:hAnsi="Calibri"/>
          <w:color w:val="1E293B"/>
          <w:sz w:val="19"/>
        </w:rPr>
        <w:t xml:space="preserve">, the UN established that target verification is a </w:t>
      </w:r>
      <w:r>
        <w:rPr>
          <w:rFonts w:ascii="Calibri" w:hAnsi="Calibri"/>
          <w:b/>
          <w:color w:val="1E293B"/>
          <w:sz w:val="19"/>
        </w:rPr>
        <w:t>continuous, temporal obligation</w:t>
      </w:r>
      <w:r>
        <w:rPr>
          <w:rFonts w:ascii="Calibri" w:hAnsi="Calibri"/>
          <w:color w:val="1E293B"/>
          <w:sz w:val="19"/>
        </w:rPr>
        <w:t>. Proximity to an adversary military base magnifies, rather than diminishes, the affirmative duty to verify adjacent civilian facilities.</w:t>
      </w:r>
    </w:p>
    <w:p>
      <w:pPr>
        <w:spacing w:before="40" w:after="60"/>
        <w:ind w:left="432"/>
      </w:pPr>
      <w:r>
        <w:rPr>
          <w:b/>
          <w:sz w:val="19"/>
        </w:rPr>
        <w:t xml:space="preserve">81. </w:t>
      </w:r>
      <w:r>
        <w:rPr>
          <w:rFonts w:ascii="Calibri" w:hAnsi="Calibri"/>
          <w:color w:val="1E293B"/>
          <w:sz w:val="19"/>
        </w:rPr>
        <w:t xml:space="preserve">CENTCOM’s failure to verify the status of the school over a ten-year peacetime window constitutes a </w:t>
      </w:r>
      <w:r>
        <w:rPr>
          <w:rFonts w:ascii="Calibri" w:hAnsi="Calibri"/>
          <w:i/>
          <w:color w:val="1E293B"/>
          <w:sz w:val="19"/>
        </w:rPr>
        <w:t>per se</w:t>
      </w:r>
      <w:r>
        <w:rPr>
          <w:rFonts w:ascii="Calibri" w:hAnsi="Calibri"/>
          <w:color w:val="1E293B"/>
          <w:sz w:val="19"/>
        </w:rPr>
        <w:t xml:space="preserve"> violation of the duty of feasible precautions.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In </w:t>
      </w:r>
      <w:r>
        <w:rPr>
          <w:rFonts w:ascii="Calibri" w:hAnsi="Calibri"/>
          <w:b/>
          <w:color w:val="1E293B"/>
          <w:sz w:val="20"/>
        </w:rPr>
        <w:t>Case 15: *Dahyan School Bus Strike* (UN GEE, 2018)</w:t>
      </w:r>
      <w:r>
        <w:rPr>
          <w:rFonts w:ascii="Calibri" w:hAnsi="Calibri"/>
          <w:color w:val="1E293B"/>
          <w:sz w:val="20"/>
        </w:rPr>
        <w:t xml:space="preserve">, the UN Group of Eminent Experts similarly established that employing precision-guided blast munitions (500-lb GBU-12) in the immediate presence of school children constitutes an indiscriminate and grossly disproportionate attack. Detonating three US Navy Tomahawk cruise missiles armed with </w:t>
      </w:r>
      <w:r>
        <w:rPr>
          <w:rFonts w:ascii="Calibri" w:hAnsi="Calibri"/>
          <w:b/>
          <w:color w:val="1E293B"/>
          <w:sz w:val="20"/>
        </w:rPr>
        <w:t>1,000-lb WDU-36/B unitary blast-fragmentation warheads</w:t>
      </w:r>
      <w:r>
        <w:rPr>
          <w:rFonts w:ascii="Calibri" w:hAnsi="Calibri"/>
          <w:color w:val="1E293B"/>
          <w:sz w:val="20"/>
        </w:rPr>
        <w:t xml:space="preserve"> (each dispersing 195 kg of high-explosive overpressure and thousands of steel fragments over an effective casualty radius exceeding 300 metres) exactly </w:t>
      </w:r>
      <w:r>
        <w:rPr>
          <w:rFonts w:ascii="Calibri" w:hAnsi="Calibri"/>
          <w:b/>
          <w:color w:val="1E293B"/>
          <w:sz w:val="20"/>
        </w:rPr>
        <w:t>42 metres</w:t>
      </w:r>
      <w:r>
        <w:rPr>
          <w:rFonts w:ascii="Calibri" w:hAnsi="Calibri"/>
          <w:color w:val="1E293B"/>
          <w:sz w:val="20"/>
        </w:rPr>
        <w:t xml:space="preserve"> from an active girls' elementary school made the mass death and dismemberment of 156 civilians mathematically guaranteed. Under the unified </w:t>
      </w:r>
      <w:r>
        <w:rPr>
          <w:rFonts w:ascii="Calibri" w:hAnsi="Calibri"/>
          <w:i/>
          <w:color w:val="1E293B"/>
          <w:sz w:val="20"/>
        </w:rPr>
        <w:t>Isayeva</w:t>
      </w:r>
      <w:r>
        <w:rPr>
          <w:rFonts w:ascii="Calibri" w:hAnsi="Calibri"/>
          <w:color w:val="1E293B"/>
          <w:sz w:val="20"/>
        </w:rPr>
        <w:t xml:space="preserve"> proportionality standard, no anticipated military advantage from destroying an auxiliary storage shed could ever legally justify unleashing a 3,000-pound high-explosive blast envelope across a schoolroom full of children.</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automated AI kill-chain failure, and the institutional dismantling of civilian harm review mechanisms;</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in full concurrence with the United Nations Independent International Fact-Finding Mission on Iran (</w:t>
      </w:r>
      <w:r>
        <w:rPr>
          <w:rFonts w:ascii="Calibri" w:hAnsi="Calibri"/>
          <w:b/>
          <w:color w:val="1E293B"/>
          <w:sz w:val="19"/>
        </w:rPr>
        <w:t>UN Doc. A/HRC/63/61</w:t>
      </w:r>
      <w:r>
        <w:rPr>
          <w:rFonts w:ascii="Calibri" w:hAnsi="Calibri"/>
          <w:color w:val="1E293B"/>
          <w:sz w:val="19"/>
        </w:rPr>
        <w:t xml:space="preserve">), that the strike constituted an unlawful indiscriminate attack amounting to a </w:t>
      </w:r>
      <w:r>
        <w:rPr>
          <w:rFonts w:ascii="Calibri" w:hAnsi="Calibri"/>
          <w:b/>
          <w:color w:val="1E293B"/>
          <w:sz w:val="19"/>
        </w:rPr>
        <w:t>war crime</w:t>
      </w:r>
      <w:r>
        <w:rPr>
          <w:rFonts w:ascii="Calibri" w:hAnsi="Calibri"/>
          <w:color w:val="1E293B"/>
          <w:sz w:val="19"/>
        </w:rPr>
        <w:t xml:space="preserve"> in breach of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97.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 in which the United States accepted responsibility, apologized, and paid </w:t>
      </w:r>
      <w:r>
        <w:rPr>
          <w:rFonts w:ascii="Calibri" w:hAnsi="Calibri"/>
          <w:b/>
          <w:color w:val="1E293B"/>
          <w:sz w:val="19"/>
        </w:rPr>
        <w:t>\$32.5 million</w:t>
      </w:r>
      <w:r>
        <w:rPr>
          <w:rFonts w:ascii="Calibri" w:hAnsi="Calibri"/>
          <w:color w:val="1E293B"/>
          <w:sz w:val="19"/>
        </w:rPr>
        <w:t xml:space="preserve"> in direct state and victim restitution, 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nomination and prioritization platforms (including Palantir Maven Smart System and integrated LLM architectures) for strike coordinates within 500 meters of registered civilian, medical, and educational buildings, coupled with mandatory, un-compressable 72-hour human visual verification protocols and the full restoration of independent Civilian Harm Mitigation and Response oversight units;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 and full disclosure of the Maven-Claude targeting log for February 28, 2026.</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w:t>
      </w:r>
      <w:r>
        <w:rPr>
          <w:rFonts w:ascii="Calibri" w:hAnsi="Calibri"/>
          <w:color w:val="2563EB"/>
          <w:sz w:val="19"/>
          <w:u w:val="single"/>
        </w:rPr>
        <w:t>EXH-SAT-001</w:t>
      </w:r>
      <w:r>
        <w:rPr>
          <w:rFonts w:ascii="Calibri" w:hAnsi="Calibri"/>
          <w:color w:val="1E293B"/>
          <w:sz w:val="19"/>
        </w:rPr>
        <w:t xml:space="preserve"> through </w:t>
      </w:r>
      <w:r>
        <w:rPr>
          <w:rFonts w:ascii="Calibri" w:hAnsi="Calibri"/>
          <w:color w:val="2563EB"/>
          <w:sz w:val="19"/>
          <w:u w:val="single"/>
        </w:rPr>
        <w:t>EXH-UN-008</w:t>
      </w:r>
      <w:r>
        <w:rPr>
          <w:rFonts w:ascii="Calibri" w:hAnsi="Calibri"/>
          <w:color w:val="1E293B"/>
          <w:sz w:val="19"/>
        </w:rPr>
        <w:t>)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and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in connection with the 63rd Regular Session (UN Doc. A/HRC/63/61), and to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99.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