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2026-09-13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The Bombing of the Chinese Embassy in Belgrade</w:t>
      </w:r>
      <w:r>
        <w:rPr>
          <w:rFonts w:ascii="Calibri" w:hAnsi="Calibri"/>
          <w:i/>
          <w:color w:val="334155"/>
          <w:sz w:val="19"/>
        </w:rPr>
        <w:t xml:space="preserve">, Final Report to the Prosecutor, Paragraphs 80–85)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80" w:after="120"/>
        <w:ind w:left="432"/>
      </w:pPr>
      <w:r>
        <w:rPr>
          <w:rFonts w:ascii="Calibri" w:hAnsi="Calibri"/>
          <w:i/>
          <w:color w:val="334155"/>
          <w:sz w:val="19"/>
        </w:rPr>
        <w:t xml:space="preserve">🌐 </w:t>
      </w:r>
      <w:r>
        <w:rPr>
          <w:rFonts w:ascii="Calibri" w:hAnsi="Calibri"/>
          <w:b/>
          <w:i/>
          <w:color w:val="334155"/>
          <w:sz w:val="19"/>
        </w:rPr>
        <w:t>Interactive Online Reader:</w:t>
      </w:r>
      <w:r>
        <w:rPr>
          <w:rFonts w:ascii="Calibri" w:hAnsi="Calibri"/>
          <w:i/>
          <w:color w:val="334155"/>
          <w:sz w:val="19"/>
        </w:rPr>
        <w:t xml:space="preserve"> </w:t>
      </w:r>
      <w:r>
        <w:rPr>
          <w:rFonts w:ascii="Calibri" w:hAnsi="Calibri"/>
          <w:i/>
          <w:color w:val="2563EB"/>
          <w:sz w:val="19"/>
          <w:u w:val="single"/>
        </w:rPr>
        <w:t>https://peopleforpeace.live/draft.html</w:t>
      </w:r>
      <w:r>
        <w:rPr>
          <w:rFonts w:ascii="Calibri" w:hAnsi="Calibri"/>
          <w:i/>
          <w:color w:val="334155"/>
          <w:sz w:val="19"/>
        </w:rPr>
        <w:t xml:space="preserve"> 📄 </w:t>
      </w:r>
      <w:r>
        <w:rPr>
          <w:rFonts w:ascii="Calibri" w:hAnsi="Calibri"/>
          <w:b/>
          <w:i/>
          <w:color w:val="334155"/>
          <w:sz w:val="19"/>
        </w:rPr>
        <w:t>Standalone Court Reader:</w:t>
      </w:r>
      <w:r>
        <w:rPr>
          <w:rFonts w:ascii="Calibri" w:hAnsi="Calibri"/>
          <w:i/>
          <w:color w:val="334155"/>
          <w:sz w:val="19"/>
        </w:rPr>
        <w:t xml:space="preserve"> Open </w:t>
      </w:r>
      <w:r>
        <w:rPr>
          <w:rFonts w:ascii="Consolas" w:hAnsi="Consolas"/>
          <w:i/>
          <w:color w:val="831843"/>
          <w:sz w:val="18"/>
        </w:rPr>
        <w:t>PFP_Platform/web/public/draft.html</w:t>
      </w:r>
      <w:r>
        <w:rPr>
          <w:rFonts w:ascii="Calibri" w:hAnsi="Calibri"/>
          <w:i/>
          <w:color w:val="334155"/>
          <w:sz w:val="19"/>
        </w:rPr>
        <w:t xml:space="preserve"> in your browser 💻 </w:t>
      </w:r>
      <w:r>
        <w:rPr>
          <w:rFonts w:ascii="Calibri" w:hAnsi="Calibri"/>
          <w:b/>
          <w:i/>
          <w:color w:val="334155"/>
          <w:sz w:val="19"/>
        </w:rPr>
        <w:t>GitHub Master Docket:</w:t>
      </w:r>
      <w:r>
        <w:rPr>
          <w:rFonts w:ascii="Calibri" w:hAnsi="Calibri"/>
          <w:i/>
          <w:color w:val="334155"/>
          <w:sz w:val="19"/>
        </w:rPr>
        <w:t xml:space="preserve"> </w:t>
      </w:r>
      <w:r>
        <w:rPr>
          <w:rFonts w:ascii="Calibri" w:hAnsi="Calibri"/>
          <w:i/>
          <w:color w:val="2563EB"/>
          <w:sz w:val="19"/>
          <w:u w:val="single"/>
        </w:rPr>
        <w:t>FACTUAL_DETERMINATION_AND_COMPLAINT_MASTER.md</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Qualification as an International Armed Conflict (IAC under Common Article 2 GC)</w:t>
      </w:r>
    </w:p>
    <w:p>
      <w:pPr>
        <w:pStyle w:val="ListBullet"/>
        <w:spacing w:before="20" w:after="40"/>
        <w:ind w:left="576"/>
      </w:pPr>
      <w:r>
        <w:rPr>
          <w:rFonts w:ascii="Calibri" w:hAnsi="Calibri"/>
          <w:color w:val="2563EB"/>
          <w:sz w:val="19"/>
          <w:u w:val="single"/>
        </w:rPr>
        <w:t>3.3 The Nexus Requirement: Temporal, Geographic &amp; Operational Connection</w:t>
      </w:r>
    </w:p>
    <w:p>
      <w:pPr>
        <w:pStyle w:val="ListBullet"/>
        <w:spacing w:before="20" w:after="40"/>
        <w:ind w:left="576"/>
      </w:pPr>
      <w:r>
        <w:rPr>
          <w:rFonts w:ascii="Calibri" w:hAnsi="Calibri"/>
          <w:color w:val="2563EB"/>
          <w:sz w:val="19"/>
          <w:u w:val="single"/>
        </w:rPr>
        <w:t>3.4 Protected Status of Civilian Population and Educational Sanctuaries</w:t>
      </w:r>
    </w:p>
    <w:p>
      <w:pPr>
        <w:pStyle w:val="ListBullet"/>
        <w:spacing w:before="20" w:after="40"/>
        <w:ind w:left="576"/>
      </w:pPr>
      <w:r>
        <w:rPr>
          <w:rFonts w:ascii="Calibri" w:hAnsi="Calibri"/>
          <w:color w:val="2563EB"/>
          <w:sz w:val="19"/>
          <w:u w:val="single"/>
        </w:rPr>
        <w:t>3.5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(*Kabul Drone*)</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*Katyr-Yurt*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v. Germany* [GC],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the public disclosures, press briefings, and leaked preliminary investigation findings issued by the United States Department of Defense (DoD) and United States Central Command (CENTCOM), integrating official admissions into the evidentiary corpus.</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and a failure of positive target identification (PID) within the US peacetime target nomination pipeline. US authorities relied on unverified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w:t>
      </w:r>
      <w:r>
        <w:rPr>
          <w:rFonts w:ascii="Calibri" w:hAnsi="Calibri"/>
          <w:color w:val="1E293B"/>
          <w:sz w:val="19"/>
        </w:rPr>
        <w:t xml:space="preserve"> The strike constitutes a serious breach of the Principle of Distinction (AP I Art. 48, 52), a gross failure of Feasible Precautions in Attack (AP I Art. 57), and a violation of the special protections shielding children and educational sanctuaries.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United Nations Independent Commissions of Inquiry—this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and disclosures originating from the internal US Army Regulation 15-6 preliminary investigation as highly probative evidence regarding: (i) US military authorship of the launch, (ii) weapon system identification, and (iii) the operational reliance on outdated targeting coordinates.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five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&amp; CENTCOM AR 15-6 Preliminary Investigation Disclosures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and leaked internal military findings conceding US responsibility.</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200" w:after="60"/>
      </w:pPr>
      <w:r>
        <w:rPr>
          <w:rFonts w:ascii="Calibri" w:hAnsi="Calibri"/>
          <w:b/>
          <w:color w:val="334155"/>
          <w:sz w:val="22"/>
        </w:rPr>
        <w:t>3.2 Qualification as an International Armed Conflict (IAC under Common Article 2 GC)</w:t>
      </w:r>
    </w:p>
    <w:p>
      <w:pPr>
        <w:spacing w:before="40" w:after="60"/>
        <w:ind w:left="432"/>
      </w:pPr>
      <w:r>
        <w:rPr>
          <w:b/>
          <w:sz w:val="19"/>
        </w:rPr>
        <w:t xml:space="preserve">20. </w:t>
      </w:r>
      <w:r>
        <w:rPr>
          <w:rFonts w:ascii="Calibri" w:hAnsi="Calibri"/>
          <w:color w:val="1E293B"/>
          <w:sz w:val="19"/>
        </w:rPr>
        <w:t xml:space="preserve">Applying the </w:t>
      </w:r>
      <w:r>
        <w:rPr>
          <w:rFonts w:ascii="Calibri" w:hAnsi="Calibri"/>
          <w:i/>
          <w:color w:val="1E293B"/>
          <w:sz w:val="19"/>
        </w:rPr>
        <w:t>Tadić</w:t>
      </w:r>
      <w:r>
        <w:rPr>
          <w:rFonts w:ascii="Calibri" w:hAnsi="Calibri"/>
          <w:color w:val="1E293B"/>
          <w:sz w:val="19"/>
        </w:rPr>
        <w:t xml:space="preserve"> threshold to the incident under review, the Panel examines whether the conflict qualifies as an </w:t>
      </w:r>
      <w:r>
        <w:rPr>
          <w:rFonts w:ascii="Calibri" w:hAnsi="Calibri"/>
          <w:b/>
          <w:color w:val="1E293B"/>
          <w:sz w:val="19"/>
        </w:rPr>
        <w:t>International Armed Conflict (IAC)</w:t>
      </w:r>
      <w:r>
        <w:rPr>
          <w:rFonts w:ascii="Calibri" w:hAnsi="Calibri"/>
          <w:color w:val="1E293B"/>
          <w:sz w:val="19"/>
        </w:rPr>
        <w:t>.</w:t>
      </w:r>
    </w:p>
    <w:p>
      <w:pPr>
        <w:spacing w:before="40" w:after="60"/>
        <w:ind w:left="432"/>
      </w:pPr>
      <w:r>
        <w:rPr>
          <w:b/>
          <w:sz w:val="19"/>
        </w:rPr>
        <w:t xml:space="preserve">21.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22.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23.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24.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200" w:after="60"/>
      </w:pPr>
      <w:r>
        <w:rPr>
          <w:rFonts w:ascii="Calibri" w:hAnsi="Calibri"/>
          <w:b/>
          <w:color w:val="334155"/>
          <w:sz w:val="22"/>
        </w:rPr>
        <w:t>3.3 The Nexus Requirement: Temporal, Geographic &amp; Operational Connection</w:t>
      </w:r>
    </w:p>
    <w:p>
      <w:pPr>
        <w:spacing w:before="40" w:after="60"/>
        <w:ind w:left="432"/>
      </w:pPr>
      <w:r>
        <w:rPr>
          <w:b/>
          <w:sz w:val="19"/>
        </w:rPr>
        <w:t xml:space="preserve">25.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26. </w:t>
      </w:r>
      <w:r>
        <w:rPr>
          <w:rFonts w:ascii="Calibri" w:hAnsi="Calibri"/>
          <w:color w:val="1E293B"/>
          <w:sz w:val="19"/>
        </w:rPr>
        <w:t>The requirement is satisfied if the alleged acts were closely related to the hostilities, or if the armed conflict played a substantial role in the perpetrator’s ability to execute the strike, the decision to target the coordinates, or the manner in which the attack was conducted.</w:t>
      </w:r>
    </w:p>
    <w:p>
      <w:pPr>
        <w:spacing w:before="40" w:after="60"/>
        <w:ind w:left="432"/>
      </w:pPr>
      <w:r>
        <w:rPr>
          <w:b/>
          <w:sz w:val="19"/>
        </w:rPr>
        <w:t xml:space="preserve">27.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w:t>
      </w:r>
    </w:p>
    <w:p>
      <w:pPr>
        <w:spacing w:before="200" w:after="60"/>
      </w:pPr>
      <w:r>
        <w:rPr>
          <w:rFonts w:ascii="Calibri" w:hAnsi="Calibri"/>
          <w:b/>
          <w:color w:val="334155"/>
          <w:sz w:val="22"/>
        </w:rPr>
        <w:t>3.4 Protected Status of Civilian Population and Educational Sanctuaries</w:t>
      </w:r>
    </w:p>
    <w:p>
      <w:pPr>
        <w:spacing w:before="40" w:after="60"/>
        <w:ind w:left="432"/>
      </w:pPr>
      <w:r>
        <w:rPr>
          <w:b/>
          <w:sz w:val="19"/>
        </w:rPr>
        <w:t xml:space="preserve">28.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29.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30.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schools enjoy heightened legal protection designed to insulate children and educational infrastructure from the effects of military kinetic violence.</w:t>
      </w:r>
    </w:p>
    <w:p>
      <w:pPr>
        <w:spacing w:before="200" w:after="60"/>
      </w:pPr>
      <w:r>
        <w:rPr>
          <w:rFonts w:ascii="Calibri" w:hAnsi="Calibri"/>
          <w:b/>
          <w:color w:val="334155"/>
          <w:sz w:val="22"/>
        </w:rPr>
        <w:t>3.5 The Absolute Presumption of Civilian Status in Case of Doubt (AP I Art. 52(3))</w:t>
      </w:r>
    </w:p>
    <w:p>
      <w:pPr>
        <w:spacing w:before="40" w:after="60"/>
        <w:ind w:left="432"/>
      </w:pPr>
      <w:r>
        <w:rPr>
          <w:b/>
          <w:sz w:val="19"/>
        </w:rPr>
        <w:t xml:space="preserve">31.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32. </w:t>
      </w:r>
      <w:r>
        <w:rPr>
          <w:rFonts w:ascii="Calibri" w:hAnsi="Calibri"/>
          <w:color w:val="1E293B"/>
          <w:sz w:val="19"/>
        </w:rPr>
        <w:t>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No such intelligence existed.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33.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34.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35. </w:t>
      </w:r>
      <w:r>
        <w:rPr>
          <w:rFonts w:ascii="Calibri" w:hAnsi="Calibri"/>
          <w:color w:val="1E293B"/>
          <w:sz w:val="19"/>
        </w:rPr>
        <w:t>Historical spatial analysis (EXH-SAT-001) confirms that prior to 2016, the parcel formed part of the outer administrative buffer zone of an IRGC Naval Logistics Base.</w:t>
      </w:r>
    </w:p>
    <w:p>
      <w:pPr>
        <w:spacing w:before="40" w:after="60"/>
        <w:ind w:left="432"/>
      </w:pPr>
      <w:r>
        <w:rPr>
          <w:b/>
          <w:sz w:val="19"/>
        </w:rPr>
        <w:t xml:space="preserve">36.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37.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38.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39. </w:t>
      </w:r>
      <w:r>
        <w:rPr>
          <w:rFonts w:ascii="Calibri" w:hAnsi="Calibri"/>
          <w:color w:val="1E293B"/>
          <w:sz w:val="19"/>
        </w:rPr>
        <w:t>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40.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killing escaping students and teachers;</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shrapnel across the open evacuation area.</w:t>
      </w:r>
    </w:p>
    <w:p>
      <w:pPr>
        <w:spacing w:before="40" w:after="60"/>
        <w:ind w:left="432"/>
      </w:pPr>
      <w:r>
        <w:rPr>
          <w:b/>
          <w:sz w:val="19"/>
        </w:rPr>
        <w:t xml:space="preserve">41.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42. </w:t>
      </w:r>
      <w:r>
        <w:rPr>
          <w:rFonts w:ascii="Calibri" w:hAnsi="Calibri"/>
          <w:color w:val="1E293B"/>
          <w:sz w:val="19"/>
        </w:rPr>
        <w:t>Forensic medicine documentation (EXH-VIC-005) confirms a devastating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w:t>
      </w:r>
    </w:p>
    <w:p>
      <w:pPr>
        <w:pStyle w:val="ListBullet"/>
        <w:spacing w:before="20" w:after="40"/>
        <w:ind w:left="576"/>
      </w:pPr>
      <w:r>
        <w:rPr>
          <w:rFonts w:ascii="Calibri" w:hAnsi="Calibri"/>
          <w:b/>
          <w:color w:val="1E293B"/>
          <w:sz w:val="19"/>
        </w:rPr>
        <w:t>Child Fatalities:</w:t>
      </w:r>
      <w:r>
        <w:rPr>
          <w:rFonts w:ascii="Calibri" w:hAnsi="Calibri"/>
          <w:color w:val="1E293B"/>
          <w:sz w:val="19"/>
        </w:rPr>
        <w:t xml:space="preserve"> </w:t>
      </w:r>
      <w:r>
        <w:rPr>
          <w:rFonts w:ascii="Calibri" w:hAnsi="Calibri"/>
          <w:b/>
          <w:color w:val="1E293B"/>
          <w:sz w:val="19"/>
        </w:rPr>
        <w:t>120 certified female students</w:t>
      </w:r>
      <w:r>
        <w:rPr>
          <w:rFonts w:ascii="Calibri" w:hAnsi="Calibri"/>
          <w:color w:val="1E293B"/>
          <w:sz w:val="19"/>
        </w:rPr>
        <w:t>, all between the ages of 7 and 12 years;</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injuries,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43. </w:t>
      </w:r>
      <w:r>
        <w:rPr>
          <w:rFonts w:ascii="Calibri" w:hAnsi="Calibri"/>
          <w:color w:val="1E293B"/>
          <w:sz w:val="19"/>
        </w:rPr>
        <w:t>Physical debris recovered from the impact crater and schoolyard (EXH-MUN-002) was examined by certified ordnance forensics specialists.</w:t>
      </w:r>
    </w:p>
    <w:p>
      <w:pPr>
        <w:spacing w:before="40" w:after="60"/>
        <w:ind w:left="432"/>
      </w:pPr>
      <w:r>
        <w:rPr>
          <w:b/>
          <w:sz w:val="19"/>
        </w:rPr>
        <w:t xml:space="preserve">44.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45.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46.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47. </w:t>
      </w:r>
      <w:r>
        <w:rPr>
          <w:rFonts w:ascii="Calibri" w:hAnsi="Calibri"/>
          <w:color w:val="1E293B"/>
          <w:sz w:val="19"/>
        </w:rPr>
        <w:t>Regional air defense radar ingress vectors and naval tracking data (EXH-LAUNCH-003) establish that the cruise missiles flew at low altitude (30–50 meters AGL) following an ingress route from the Gulf of Oman.</w:t>
      </w:r>
    </w:p>
    <w:p>
      <w:pPr>
        <w:spacing w:before="40" w:after="60"/>
        <w:ind w:left="432"/>
      </w:pPr>
      <w:r>
        <w:rPr>
          <w:b/>
          <w:sz w:val="19"/>
        </w:rPr>
        <w:t xml:space="preserve">48.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49.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50.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51.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52.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53.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54.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55. </w:t>
      </w:r>
      <w:r>
        <w:rPr>
          <w:rFonts w:ascii="Calibri" w:hAnsi="Calibri"/>
          <w:color w:val="1E293B"/>
          <w:sz w:val="19"/>
        </w:rPr>
        <w:t>Because the Shajareh Tayyebeh School coordinate was approved during peacetime, US Central Command cannot invoke battlefield confusion or dynamic combat exigencies to excuse its failure to verify the target.</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56.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57. </w:t>
      </w:r>
      <w:r>
        <w:rPr>
          <w:rFonts w:ascii="Calibri" w:hAnsi="Calibri"/>
          <w:color w:val="1E293B"/>
          <w:sz w:val="19"/>
        </w:rPr>
        <w:t>Applying this exact tripartite test to the Minab strike demonstrates identical institutional negligence:</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58.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59.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60.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CENTCOM review officers simply confirmed that the strike coordinates matched the historical DIA target dossier. No officer initiated an independent query of updated civil registries or external imagery, creating a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61.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62. </w:t>
      </w:r>
      <w:r>
        <w:rPr>
          <w:rFonts w:ascii="Calibri" w:hAnsi="Calibri"/>
          <w:color w:val="1E293B"/>
          <w:sz w:val="19"/>
        </w:rPr>
        <w:t>In Minab, the Target Review Board operated in complete insulation from readily accessible public information:</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63.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64.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65.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66.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67.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(*Kabul Drone*)</w:t>
      </w:r>
    </w:p>
    <w:p>
      <w:pPr>
        <w:spacing w:before="40" w:after="60"/>
        <w:ind w:left="432"/>
      </w:pPr>
      <w:r>
        <w:rPr>
          <w:b/>
          <w:sz w:val="19"/>
        </w:rPr>
        <w:t xml:space="preserve">68. </w:t>
      </w:r>
      <w:r>
        <w:rPr>
          <w:rFonts w:ascii="Calibri" w:hAnsi="Calibri"/>
          <w:color w:val="1E293B"/>
          <w:sz w:val="19"/>
        </w:rPr>
        <w:t xml:space="preserve">The cognitive pathology in Minab mirrors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69.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w:t>
      </w:r>
    </w:p>
    <w:p>
      <w:pPr>
        <w:spacing w:before="40" w:after="60"/>
        <w:ind w:left="432"/>
      </w:pPr>
      <w:r>
        <w:rPr>
          <w:b/>
          <w:sz w:val="19"/>
        </w:rPr>
        <w:t xml:space="preserve">70. </w:t>
      </w:r>
      <w:r>
        <w:rPr>
          <w:rFonts w:ascii="Calibri" w:hAnsi="Calibri"/>
          <w:color w:val="1E293B"/>
          <w:sz w:val="19"/>
        </w:rPr>
        <w:t>In Minab, CENTCOM’s automated AI-assisted target nomination pipeline (Project Maven derivatives) and human vetting officers operated under the pre-conceived hypothesis that the area was an IRGC base, filtering out ten years of civilian educational activity.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71.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72.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73.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74.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75. </w:t>
      </w:r>
      <w:r>
        <w:rPr>
          <w:rFonts w:ascii="Calibri" w:hAnsi="Calibri"/>
          <w:color w:val="1E293B"/>
          <w:sz w:val="19"/>
        </w:rPr>
        <w:t>CENTCOM’s failure to verify the status of the school over a ten-year peacetime window constitutes a per se violation of the duty of feasible precautions.</w:t>
      </w:r>
    </w:p>
    <w:p>
      <w:pPr>
        <w:spacing w:before="200" w:after="60"/>
      </w:pPr>
      <w:r>
        <w:rPr>
          <w:rFonts w:ascii="Calibri" w:hAnsi="Calibri"/>
          <w:b/>
          <w:color w:val="334155"/>
          <w:sz w:val="22"/>
        </w:rPr>
        <w:t>7.3 Violation of the Principle of Proportionality (AP I Art. 51(5)(b); CIHL Rule 14; *Katyr-Yurt* &amp; *Dahyan*)</w:t>
      </w:r>
    </w:p>
    <w:p>
      <w:pPr>
        <w:spacing w:before="40" w:after="60"/>
        <w:ind w:left="432"/>
      </w:pPr>
      <w:r>
        <w:rPr>
          <w:b/>
          <w:sz w:val="19"/>
        </w:rPr>
        <w:t xml:space="preserve">76.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77. </w:t>
      </w:r>
      <w:r>
        <w:rPr>
          <w:rFonts w:ascii="Calibri" w:hAnsi="Calibri"/>
          <w:color w:val="1E293B"/>
          <w:sz w:val="19"/>
        </w:rPr>
        <w:t xml:space="preserve">In </w:t>
      </w:r>
      <w:r>
        <w:rPr>
          <w:rFonts w:ascii="Calibri" w:hAnsi="Calibri"/>
          <w:b/>
          <w:color w:val="1E293B"/>
          <w:sz w:val="19"/>
        </w:rPr>
        <w:t>Case 03: *Isayeva v. Russia* (ECtHR, 2005, §§ 189–191)</w:t>
      </w:r>
      <w:r>
        <w:rPr>
          <w:rFonts w:ascii="Calibri" w:hAnsi="Calibri"/>
          <w:color w:val="1E293B"/>
          <w:sz w:val="19"/>
        </w:rPr>
        <w:t xml:space="preserve">, the Court held that deploying heavy aerial bombs adjacent to a civilian settlement violates the right to life. In </w:t>
      </w:r>
      <w:r>
        <w:rPr>
          <w:rFonts w:ascii="Calibri" w:hAnsi="Calibri"/>
          <w:b/>
          <w:color w:val="1E293B"/>
          <w:sz w:val="19"/>
        </w:rPr>
        <w:t>Case 15: *Dahyan School Bus Strike* (UN GEE, 2018)</w:t>
      </w:r>
      <w:r>
        <w:rPr>
          <w:rFonts w:ascii="Calibri" w:hAnsi="Calibri"/>
          <w:color w:val="1E293B"/>
          <w:sz w:val="19"/>
        </w:rPr>
        <w:t>, deploying blast weapons near children was condemned as an indiscriminate attack.</w:t>
      </w:r>
    </w:p>
    <w:p>
      <w:pPr>
        <w:spacing w:before="40" w:after="60"/>
        <w:ind w:left="432"/>
      </w:pPr>
      <w:r>
        <w:rPr>
          <w:b/>
          <w:sz w:val="19"/>
        </w:rPr>
        <w:t xml:space="preserve">78.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79.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80.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81.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82.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 and</w:t>
      </w:r>
    </w:p>
    <w:p>
      <w:pPr>
        <w:pStyle w:val="ListBullet"/>
        <w:spacing w:before="20" w:after="40"/>
        <w:ind w:left="576"/>
      </w:pPr>
      <w:r>
        <w:rPr>
          <w:rFonts w:ascii="Calibri" w:hAnsi="Calibri"/>
          <w:color w:val="1E293B"/>
          <w:sz w:val="19"/>
        </w:rPr>
        <w:t>(iii) The CENTCOM Target Review Board members who validated the strike without verifying the physical ground reality.</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83.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84. </w:t>
      </w:r>
      <w:r>
        <w:rPr>
          <w:rFonts w:ascii="Calibri" w:hAnsi="Calibri"/>
          <w:color w:val="1E293B"/>
          <w:sz w:val="19"/>
        </w:rPr>
        <w:t>The dissolution of civilian harm mitigation oversight programs and the prioritization of algorithmic strike speed without human vetting establish systemic command failure.</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85.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86.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87.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v. Germany* [GC], ECHR Art. 2)</w:t>
      </w:r>
    </w:p>
    <w:p>
      <w:pPr>
        <w:spacing w:before="40" w:after="60"/>
        <w:ind w:left="432"/>
      </w:pPr>
      <w:r>
        <w:rPr>
          <w:b/>
          <w:sz w:val="19"/>
        </w:rPr>
        <w:t xml:space="preserve">88.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89.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90.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and failure of positive target identification;</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xml:space="preserve"> that the strike breached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91.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generation pipelines for coordinates within 500 meters of registered civilian and educational buildings, coupled with mandatory 72-hour human visual verification protocols;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Trust Fund covering lifelong rehabilitation for all </w:t>
      </w:r>
      <w:r>
        <w:rPr>
          <w:rFonts w:ascii="Calibri" w:hAnsi="Calibri"/>
          <w:b/>
          <w:color w:val="1E293B"/>
          <w:sz w:val="19"/>
        </w:rPr>
        <w:t>95+ wounded survivors</w:t>
      </w:r>
      <w:r>
        <w:rPr>
          <w:rFonts w:ascii="Calibri" w:hAnsi="Calibri"/>
          <w:color w:val="1E293B"/>
          <w:sz w:val="19"/>
        </w:rPr>
        <w:t>;</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92.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(EXH-SAT-001 through EXH-VIC-005)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United Nations Human Rights Council</w:t>
      </w:r>
      <w:r>
        <w:rPr>
          <w:rFonts w:ascii="Calibri" w:hAnsi="Calibri"/>
          <w:color w:val="1E293B"/>
          <w:sz w:val="19"/>
        </w:rPr>
        <w:t xml:space="preserve"> and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93.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