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CDL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PRIVADOS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lang w:val="pt-BR" w:eastAsia="zh-CN" w:bidi="hi-IN"/>
              </w:rPr>
              <w:t>Prejuízos Econômicos Privados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Indústria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Comércio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Serviços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jc w:val="right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bCs w:val="0"/>
                <w:color w:val="auto"/>
                <w:sz w:val="24"/>
                <w:szCs w:val="24"/>
                <w:vertAlign w:val="baseline"/>
                <w:lang w:val="pt-BR" w:eastAsia="zh-CN" w:bidi="hi-IN"/>
              </w:rPr>
              <w:t>TOTAL R$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0DB667D2"/>
    <w:rsid w:val="27D16809"/>
    <w:rsid w:val="29491D8D"/>
    <w:rsid w:val="29A949E6"/>
    <w:rsid w:val="2FAF0518"/>
    <w:rsid w:val="5D8A4334"/>
    <w:rsid w:val="60ED6D83"/>
    <w:rsid w:val="6914728F"/>
    <w:rsid w:val="718948C5"/>
    <w:rsid w:val="78A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