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CESAN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 À INFRAESTRUTURA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bookmarkStart w:id="0" w:name="_GoBack"/>
      <w:bookmarkEnd w:id="0"/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PREJUÍZOS ECONÔMICOS PÚBLICOS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8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F1F1F1" w:themeFill="background1" w:themeFillShade="F2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Serviço essencial público prejudicado ou interrompido.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do Prejuízo (R$)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318" w:type="dxa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Abastecimento de água potável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Esgoto de águas pluviais e sistema de esgotos sanitários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wordWrap w:val="0"/>
              <w:jc w:val="right"/>
              <w:rPr>
                <w:rFonts w:hint="default" w:ascii="Arial" w:hAnsi="Arial" w:eastAsia="SimSun" w:cs="Arial"/>
                <w:sz w:val="24"/>
                <w:szCs w:val="24"/>
                <w:lang w:val="pt-BR" w:eastAsia="zh-C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  <w:lang w:val="pt-BR" w:eastAsia="zh-CN"/>
              </w:rPr>
              <w:t>TOTAL R$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ADD683E"/>
    <w:rsid w:val="0DB648C3"/>
    <w:rsid w:val="27D16809"/>
    <w:rsid w:val="29491D8D"/>
    <w:rsid w:val="2FAF0518"/>
    <w:rsid w:val="32A85639"/>
    <w:rsid w:val="3FA357A5"/>
    <w:rsid w:val="5D8A4334"/>
    <w:rsid w:val="60ED6D83"/>
    <w:rsid w:val="6914728F"/>
    <w:rsid w:val="718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