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0117E">
      <w:pPr>
        <w:spacing w:before="800"/>
        <w:jc w:val="center"/>
      </w:pPr>
      <w:r>
        <w:rPr>
          <w:b/>
          <w:color w:val="1F4E79"/>
          <w:sz w:val="36"/>
        </w:rPr>
        <w:t>MEDICAL PARTNERS LTD</w:t>
      </w:r>
    </w:p>
    <w:p w14:paraId="605CE4F4">
      <w:pPr>
        <w:jc w:val="center"/>
      </w:pPr>
      <w:r>
        <w:rPr>
          <w:b/>
          <w:color w:val="000000"/>
          <w:sz w:val="40"/>
        </w:rPr>
        <w:t>CLIENT SERVICES PROCESS</w:t>
      </w:r>
    </w:p>
    <w:p w14:paraId="2752C373">
      <w:pPr>
        <w:jc w:val="center"/>
      </w:pPr>
      <w:r>
        <w:rPr>
          <w:b/>
          <w:sz w:val="26"/>
        </w:rPr>
        <w:t>Client Services Management Unit</w:t>
      </w:r>
    </w:p>
    <w:p w14:paraId="3FA4CEDC">
      <w:pPr>
        <w:jc w:val="center"/>
      </w:pPr>
      <w:r>
        <w:rPr>
          <w:b/>
          <w:color w:val="1F4E79"/>
          <w:sz w:val="24"/>
        </w:rPr>
        <w:t>Service Level Agreement / Standard Operating Procedure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042A6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18DB7024">
            <w:r>
              <w:rPr>
                <w:b/>
                <w:sz w:val="18"/>
              </w:rPr>
              <w:t>Document Type</w:t>
            </w:r>
          </w:p>
        </w:tc>
        <w:tc>
          <w:tcPr>
            <w:tcW w:w="5112" w:type="dxa"/>
            <w:vAlign w:val="center"/>
          </w:tcPr>
          <w:p w14:paraId="2F7AF896">
            <w:r>
              <w:rPr>
                <w:b w:val="0"/>
                <w:sz w:val="18"/>
              </w:rPr>
              <w:t>SLA / SOP</w:t>
            </w:r>
          </w:p>
        </w:tc>
      </w:tr>
      <w:tr w14:paraId="41FC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5973055F">
            <w:r>
              <w:rPr>
                <w:b/>
                <w:sz w:val="18"/>
              </w:rPr>
              <w:t>Department</w:t>
            </w:r>
          </w:p>
        </w:tc>
        <w:tc>
          <w:tcPr>
            <w:tcW w:w="5112" w:type="dxa"/>
            <w:vAlign w:val="center"/>
          </w:tcPr>
          <w:p w14:paraId="743CCD1A">
            <w:r>
              <w:rPr>
                <w:b w:val="0"/>
                <w:sz w:val="18"/>
              </w:rPr>
              <w:t>Client Services Management Unit</w:t>
            </w:r>
          </w:p>
        </w:tc>
      </w:tr>
      <w:tr w14:paraId="756F5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64154C71">
            <w:r>
              <w:rPr>
                <w:b/>
                <w:sz w:val="18"/>
              </w:rPr>
              <w:t>Review Date</w:t>
            </w:r>
          </w:p>
        </w:tc>
        <w:tc>
          <w:tcPr>
            <w:tcW w:w="5112" w:type="dxa"/>
            <w:vAlign w:val="center"/>
          </w:tcPr>
          <w:p w14:paraId="4B3871C6">
            <w:r>
              <w:rPr>
                <w:b w:val="0"/>
                <w:sz w:val="18"/>
              </w:rPr>
              <w:t>MM/DD/YYYY</w:t>
            </w:r>
          </w:p>
        </w:tc>
      </w:tr>
      <w:tr w14:paraId="17CCF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3D3CEABC">
            <w:r>
              <w:rPr>
                <w:b/>
                <w:sz w:val="18"/>
              </w:rPr>
              <w:t>Renewal Date</w:t>
            </w:r>
          </w:p>
        </w:tc>
        <w:tc>
          <w:tcPr>
            <w:tcW w:w="5112" w:type="dxa"/>
            <w:vAlign w:val="center"/>
          </w:tcPr>
          <w:p w14:paraId="7A7BD352">
            <w:r>
              <w:rPr>
                <w:b w:val="0"/>
                <w:sz w:val="18"/>
              </w:rPr>
              <w:t>MM/DD/YYYY</w:t>
            </w:r>
          </w:p>
        </w:tc>
      </w:tr>
    </w:tbl>
    <w:p w14:paraId="00C85146">
      <w:pPr>
        <w:spacing w:after="100"/>
      </w:pPr>
    </w:p>
    <w:p w14:paraId="7B38E21A">
      <w:pPr>
        <w:spacing w:after="240"/>
        <w:jc w:val="center"/>
      </w:pPr>
      <w:r>
        <w:rPr>
          <w:b/>
          <w:sz w:val="30"/>
          <w:szCs w:val="30"/>
        </w:rPr>
        <w:t>TABLE OF CONTENTS</w:t>
      </w:r>
    </w:p>
    <w:p w14:paraId="10125B1E">
      <w:pPr>
        <w:spacing w:after="120"/>
      </w:pPr>
      <w:r>
        <w:rPr>
          <w:b/>
          <w:sz w:val="22"/>
          <w:szCs w:val="22"/>
        </w:rPr>
        <w:t>SLA Introduction</w:t>
      </w:r>
    </w:p>
    <w:p w14:paraId="19CAB166">
      <w:pPr>
        <w:spacing w:after="120"/>
      </w:pPr>
      <w:r>
        <w:rPr>
          <w:b/>
          <w:sz w:val="22"/>
          <w:szCs w:val="22"/>
        </w:rPr>
        <w:t>1. Introduction</w:t>
      </w:r>
    </w:p>
    <w:p w14:paraId="13260252">
      <w:pPr>
        <w:spacing w:after="120"/>
      </w:pPr>
      <w:r>
        <w:rPr>
          <w:b/>
          <w:sz w:val="22"/>
          <w:szCs w:val="22"/>
        </w:rPr>
        <w:t>2. Pre-Process</w:t>
      </w:r>
    </w:p>
    <w:p w14:paraId="460A3E7D">
      <w:pPr>
        <w:spacing w:after="120"/>
      </w:pPr>
      <w:r>
        <w:rPr>
          <w:b/>
          <w:sz w:val="22"/>
          <w:szCs w:val="22"/>
        </w:rPr>
        <w:t>3. Enrollee Management</w:t>
      </w:r>
    </w:p>
    <w:p w14:paraId="09E44D69">
      <w:pPr>
        <w:spacing w:after="120"/>
      </w:pPr>
      <w:r>
        <w:rPr>
          <w:b/>
          <w:sz w:val="22"/>
          <w:szCs w:val="22"/>
        </w:rPr>
        <w:t>4. Account Management</w:t>
      </w:r>
    </w:p>
    <w:p w14:paraId="16C98819">
      <w:pPr>
        <w:spacing w:after="120"/>
      </w:pPr>
      <w:r>
        <w:rPr>
          <w:b/>
          <w:sz w:val="22"/>
          <w:szCs w:val="22"/>
        </w:rPr>
        <w:t>5. Incidences and Exceptions</w:t>
      </w:r>
    </w:p>
    <w:p w14:paraId="6BC849D1">
      <w:pPr>
        <w:spacing w:after="120"/>
      </w:pPr>
      <w:r>
        <w:rPr>
          <w:b/>
          <w:sz w:val="22"/>
          <w:szCs w:val="22"/>
        </w:rPr>
        <w:t>6. Quality Assurance Process</w:t>
      </w:r>
    </w:p>
    <w:p w14:paraId="73509BBE">
      <w:pPr>
        <w:spacing w:after="120"/>
      </w:pPr>
      <w:r>
        <w:rPr>
          <w:b/>
          <w:sz w:val="22"/>
          <w:szCs w:val="22"/>
        </w:rPr>
        <w:t>7. Escalation Procedure</w:t>
      </w:r>
    </w:p>
    <w:p w14:paraId="7C95A92F">
      <w:pPr>
        <w:spacing w:after="120"/>
      </w:pPr>
      <w:r>
        <w:rPr>
          <w:b/>
          <w:sz w:val="22"/>
          <w:szCs w:val="22"/>
        </w:rPr>
        <w:t>8. Documentation and Records</w:t>
      </w:r>
    </w:p>
    <w:p w14:paraId="6F937E76">
      <w:pPr>
        <w:spacing w:after="120"/>
      </w:pPr>
      <w:r>
        <w:rPr>
          <w:b/>
          <w:sz w:val="22"/>
          <w:szCs w:val="22"/>
        </w:rPr>
        <w:t>9. Service Timeline Summary</w:t>
      </w:r>
    </w:p>
    <w:p w14:paraId="49536B86">
      <w:pPr>
        <w:spacing w:after="120"/>
      </w:pPr>
      <w:r>
        <w:rPr>
          <w:b/>
          <w:sz w:val="22"/>
          <w:szCs w:val="22"/>
        </w:rPr>
        <w:t>10. Quality Assurance Expectations</w:t>
      </w:r>
    </w:p>
    <w:p w14:paraId="75B0FAE8">
      <w:pPr>
        <w:spacing w:after="120"/>
      </w:pPr>
      <w:r>
        <w:rPr>
          <w:b/>
          <w:sz w:val="22"/>
          <w:szCs w:val="22"/>
        </w:rPr>
        <w:t>11. Sign-Off Section</w:t>
      </w:r>
    </w:p>
    <w:p w14:paraId="5C2D7C91">
      <w:r>
        <w:br w:type="page"/>
      </w:r>
    </w:p>
    <w:p w14:paraId="4C50DA08">
      <w:pPr>
        <w:pStyle w:val="2"/>
      </w:pPr>
      <w:r>
        <w:t>SLA INTRODUCTION</w:t>
      </w:r>
    </w:p>
    <w:p w14:paraId="76E3A932">
      <w:r>
        <w:t>This Service Level Agreement is between the Client Services Unit and other units within Medical Partners Ltd. It identifies the services required, expected service standards, process flow, timelines, responsibilities, and handshakes between Client Services and other units.</w:t>
      </w:r>
    </w:p>
    <w:p w14:paraId="65AF6030">
      <w:r>
        <w:t>This document covers Client Services processes, enrollee management, account management, correspondence, birthday messages, incidences and exceptions, claims reimbursement, ticketing, change of hospital, quality assurance, documentation, escalation, and reporting.</w:t>
      </w:r>
    </w:p>
    <w:p w14:paraId="1B233691">
      <w:r>
        <w:t>This document is subject to review and renewal as scheduled by management.</w:t>
      </w:r>
    </w:p>
    <w:p w14:paraId="2DB3F4FB">
      <w:pPr>
        <w:pStyle w:val="2"/>
      </w:pPr>
      <w:r>
        <w:t>1. INTRODUCTION</w:t>
      </w:r>
    </w:p>
    <w:p w14:paraId="67DD10D8">
      <w:pPr>
        <w:pStyle w:val="3"/>
      </w:pPr>
      <w:r>
        <w:t>What Client Service Is About</w:t>
      </w:r>
    </w:p>
    <w:p w14:paraId="03E91E67">
      <w:r>
        <w:t>Client Service is the process of taking care of customers needs by providing professional, helpful, timely, and high-quality support before, during, and after service delivery.</w:t>
      </w:r>
    </w:p>
    <w:p w14:paraId="671195F3">
      <w:pPr>
        <w:pStyle w:val="3"/>
      </w:pPr>
      <w:r>
        <w:t>Aim of Client Service</w:t>
      </w:r>
    </w:p>
    <w:p w14:paraId="0E0EB82E">
      <w:r>
        <w:t>The aim of Client Service is to ensure that clients and enrollees are satisfied with the services provided by Medical Partners Ltd on a long-term basis.</w:t>
      </w:r>
    </w:p>
    <w:p w14:paraId="7E92B1A8">
      <w:pPr>
        <w:pStyle w:val="3"/>
      </w:pPr>
      <w:r>
        <w:t>Attributes of Good Customer Service</w:t>
      </w:r>
    </w:p>
    <w:p w14:paraId="34A159C5">
      <w:pPr>
        <w:pStyle w:val="23"/>
        <w:spacing w:after="20"/>
      </w:pPr>
      <w:r>
        <w:t>Professionalism</w:t>
      </w:r>
    </w:p>
    <w:p w14:paraId="2613CB8A">
      <w:pPr>
        <w:pStyle w:val="23"/>
        <w:spacing w:after="20"/>
      </w:pPr>
      <w:r>
        <w:t>Empathy</w:t>
      </w:r>
    </w:p>
    <w:p w14:paraId="1896B8DC">
      <w:pPr>
        <w:pStyle w:val="23"/>
        <w:spacing w:after="20"/>
      </w:pPr>
      <w:r>
        <w:t>Patience</w:t>
      </w:r>
    </w:p>
    <w:p w14:paraId="4B2D7CA1">
      <w:pPr>
        <w:pStyle w:val="23"/>
        <w:spacing w:after="20"/>
      </w:pPr>
      <w:r>
        <w:t>Prompt response</w:t>
      </w:r>
    </w:p>
    <w:p w14:paraId="29BC2119">
      <w:pPr>
        <w:pStyle w:val="23"/>
        <w:spacing w:after="20"/>
      </w:pPr>
      <w:r>
        <w:t>Clear communication</w:t>
      </w:r>
    </w:p>
    <w:p w14:paraId="0F438DE5">
      <w:pPr>
        <w:pStyle w:val="23"/>
        <w:spacing w:after="20"/>
      </w:pPr>
      <w:r>
        <w:t>Problem-solving ability</w:t>
      </w:r>
    </w:p>
    <w:p w14:paraId="65FD714F">
      <w:pPr>
        <w:pStyle w:val="23"/>
        <w:spacing w:after="20"/>
      </w:pPr>
      <w:r>
        <w:t>Proper follow-up</w:t>
      </w:r>
    </w:p>
    <w:p w14:paraId="2F4CDF65">
      <w:pPr>
        <w:pStyle w:val="23"/>
        <w:spacing w:after="20"/>
      </w:pPr>
      <w:r>
        <w:t>Good documentation</w:t>
      </w:r>
    </w:p>
    <w:p w14:paraId="50995397">
      <w:pPr>
        <w:pStyle w:val="3"/>
      </w:pPr>
      <w:r>
        <w:t>Customer Service Skills</w:t>
      </w:r>
    </w:p>
    <w:p w14:paraId="467BF3A7">
      <w:pPr>
        <w:pStyle w:val="23"/>
        <w:spacing w:after="20"/>
      </w:pPr>
      <w:r>
        <w:t>Active listening</w:t>
      </w:r>
    </w:p>
    <w:p w14:paraId="7D3C439B">
      <w:pPr>
        <w:pStyle w:val="23"/>
        <w:spacing w:after="20"/>
      </w:pPr>
      <w:r>
        <w:t>Conflict resolution</w:t>
      </w:r>
    </w:p>
    <w:p w14:paraId="23C75A01">
      <w:pPr>
        <w:pStyle w:val="23"/>
        <w:spacing w:after="20"/>
      </w:pPr>
      <w:r>
        <w:t>Time management</w:t>
      </w:r>
    </w:p>
    <w:p w14:paraId="561F3A56">
      <w:pPr>
        <w:pStyle w:val="23"/>
        <w:spacing w:after="20"/>
      </w:pPr>
      <w:r>
        <w:t>Escalation management</w:t>
      </w:r>
    </w:p>
    <w:p w14:paraId="374FEB05">
      <w:pPr>
        <w:pStyle w:val="23"/>
        <w:spacing w:after="20"/>
      </w:pPr>
      <w:r>
        <w:t>Follow-up and feedback</w:t>
      </w:r>
    </w:p>
    <w:p w14:paraId="57537AF4">
      <w:pPr>
        <w:pStyle w:val="23"/>
        <w:spacing w:after="20"/>
      </w:pPr>
      <w:r>
        <w:t>Knowledge of internal processes</w:t>
      </w:r>
    </w:p>
    <w:p w14:paraId="29DF9FE4">
      <w:pPr>
        <w:pStyle w:val="2"/>
      </w:pPr>
      <w:r>
        <w:t>2. PRE-PROCESS</w:t>
      </w:r>
    </w:p>
    <w:p w14:paraId="6000E60C">
      <w:r>
        <w:t>This Service Level Agreement is between the Client Services Unit and the following departments: Business Development, Finance Services, Claims Operation, and Finance Operation.</w:t>
      </w:r>
    </w:p>
    <w:p w14:paraId="6F849543">
      <w:pPr>
        <w:pStyle w:val="3"/>
      </w:pPr>
      <w:r>
        <w:rPr>
          <w:b/>
          <w:color w:val="1F4E79"/>
        </w:rPr>
        <w:t>BUSINESS DEVELOPMENT</w:t>
      </w:r>
      <w:r>
        <w:rPr>
          <w:b/>
          <w:color w:val="C00000"/>
          <w:highlight w:val="yellow"/>
        </w:rPr>
        <w:t xml:space="preserve">  Timeline: Upon account completion</w:t>
      </w:r>
    </w:p>
    <w:p w14:paraId="0B294F19">
      <w:r>
        <w:t>When an account has been completed by Business Development, the list of potential enrollees shall be sent to Client Services via email in Excel format.</w:t>
      </w:r>
    </w:p>
    <w:p w14:paraId="6225D299">
      <w:pPr>
        <w:pStyle w:val="23"/>
        <w:spacing w:after="20"/>
      </w:pPr>
      <w:r>
        <w:t>Surname</w:t>
      </w:r>
    </w:p>
    <w:p w14:paraId="6D23E4AE">
      <w:pPr>
        <w:pStyle w:val="23"/>
        <w:spacing w:after="20"/>
      </w:pPr>
      <w:r>
        <w:t>First name</w:t>
      </w:r>
    </w:p>
    <w:p w14:paraId="2DC0C2DA">
      <w:pPr>
        <w:pStyle w:val="23"/>
        <w:spacing w:after="20"/>
      </w:pPr>
      <w:r>
        <w:t>Other names</w:t>
      </w:r>
    </w:p>
    <w:p w14:paraId="5791D5B6">
      <w:pPr>
        <w:pStyle w:val="23"/>
        <w:spacing w:after="20"/>
      </w:pPr>
      <w:r>
        <w:t>Date of birth</w:t>
      </w:r>
    </w:p>
    <w:p w14:paraId="4500FC69">
      <w:pPr>
        <w:pStyle w:val="23"/>
        <w:spacing w:after="20"/>
      </w:pPr>
      <w:r>
        <w:t>Email address</w:t>
      </w:r>
    </w:p>
    <w:p w14:paraId="54EE9C82">
      <w:pPr>
        <w:pStyle w:val="23"/>
        <w:spacing w:after="20"/>
      </w:pPr>
      <w:r>
        <w:t>Phone number</w:t>
      </w:r>
    </w:p>
    <w:p w14:paraId="4B58FB7D">
      <w:pPr>
        <w:pStyle w:val="23"/>
        <w:spacing w:after="20"/>
      </w:pPr>
      <w:r>
        <w:t>Home address</w:t>
      </w:r>
    </w:p>
    <w:p w14:paraId="5F0FA921">
      <w:pPr>
        <w:pStyle w:val="23"/>
        <w:spacing w:after="20"/>
      </w:pPr>
      <w:r>
        <w:t>Gender</w:t>
      </w:r>
    </w:p>
    <w:p w14:paraId="3DFF672C">
      <w:pPr>
        <w:pStyle w:val="23"/>
        <w:spacing w:after="20"/>
      </w:pPr>
      <w:r>
        <w:t>Location</w:t>
      </w:r>
    </w:p>
    <w:p w14:paraId="47004627">
      <w:pPr>
        <w:pStyle w:val="23"/>
        <w:spacing w:after="20"/>
      </w:pPr>
      <w:r>
        <w:t>Name of provider</w:t>
      </w:r>
    </w:p>
    <w:p w14:paraId="6FCA3710">
      <w:pPr>
        <w:pStyle w:val="23"/>
        <w:spacing w:after="20"/>
      </w:pPr>
      <w:r>
        <w:t>Passport photograph</w:t>
      </w:r>
    </w:p>
    <w:p w14:paraId="48395F43">
      <w:pPr>
        <w:pStyle w:val="23"/>
        <w:spacing w:after="20"/>
      </w:pPr>
      <w:r>
        <w:t>Number of dependants</w:t>
      </w:r>
    </w:p>
    <w:p w14:paraId="79465F0F">
      <w:pPr>
        <w:pStyle w:val="23"/>
        <w:spacing w:after="20"/>
      </w:pPr>
      <w:r>
        <w:t>Staff ID, where available</w:t>
      </w:r>
    </w:p>
    <w:p w14:paraId="5A07DA32">
      <w:pPr>
        <w:spacing w:before="80"/>
        <w:jc w:val="center"/>
      </w:pPr>
      <w:r>
        <w:rPr>
          <w:sz w:val="18"/>
        </w:rPr>
        <w:t>____________________        ____________________</w:t>
      </w:r>
    </w:p>
    <w:p w14:paraId="1B9E4D61">
      <w:pPr>
        <w:jc w:val="center"/>
      </w:pPr>
      <w:r>
        <w:rPr>
          <w:b/>
          <w:sz w:val="16"/>
        </w:rPr>
        <w:t>AO (Business Development Officer)        SO (Client Service Officer)</w:t>
      </w:r>
    </w:p>
    <w:p w14:paraId="17671DF3">
      <w:pPr>
        <w:pStyle w:val="3"/>
      </w:pPr>
      <w:r>
        <w:rPr>
          <w:b/>
          <w:color w:val="1F4E79"/>
        </w:rPr>
        <w:t>FINANCE SERVICES</w:t>
      </w:r>
      <w:r>
        <w:rPr>
          <w:b/>
          <w:color w:val="C00000"/>
          <w:highlight w:val="yellow"/>
        </w:rPr>
        <w:t xml:space="preserve">  Timeline: Before registration begins</w:t>
      </w:r>
    </w:p>
    <w:p w14:paraId="70A3955B">
      <w:r>
        <w:t>Finance Services shall give sign-off after payment has been made by the new company or client. The sign-off shall be sent to Client Services via email to authorize registration.</w:t>
      </w:r>
    </w:p>
    <w:p w14:paraId="14208041">
      <w:pPr>
        <w:spacing w:before="80"/>
        <w:jc w:val="center"/>
      </w:pPr>
      <w:r>
        <w:rPr>
          <w:sz w:val="18"/>
        </w:rPr>
        <w:t>____________________        ____________________</w:t>
      </w:r>
    </w:p>
    <w:p w14:paraId="288537E7">
      <w:pPr>
        <w:jc w:val="center"/>
      </w:pPr>
      <w:r>
        <w:rPr>
          <w:b/>
          <w:sz w:val="16"/>
        </w:rPr>
        <w:t>AO (Finance Services Officer)        SO (Client Service Officer)</w:t>
      </w:r>
    </w:p>
    <w:p w14:paraId="1970D6DB">
      <w:pPr>
        <w:pStyle w:val="3"/>
      </w:pPr>
      <w:r>
        <w:rPr>
          <w:b/>
          <w:color w:val="1F4E79"/>
        </w:rPr>
        <w:t>CLAIMS OPERATION</w:t>
      </w:r>
      <w:r>
        <w:rPr>
          <w:b/>
          <w:color w:val="C00000"/>
          <w:highlight w:val="yellow"/>
        </w:rPr>
        <w:t xml:space="preserve">  Timeline: Within approved claims processing period</w:t>
      </w:r>
    </w:p>
    <w:p w14:paraId="18231FB2">
      <w:r>
        <w:t xml:space="preserve">Claims Operation shall process claims reimbursement for </w:t>
      </w:r>
      <w:r>
        <w:rPr>
          <w:lang w:val="en-US"/>
        </w:rPr>
        <w:t>enrollee</w:t>
      </w:r>
      <w:r>
        <w:t xml:space="preserve"> based on access denial, service failure, out-of-station treatment, or emergency cases.</w:t>
      </w:r>
    </w:p>
    <w:p w14:paraId="775C64CF">
      <w:pPr>
        <w:pStyle w:val="23"/>
        <w:spacing w:after="20"/>
      </w:pPr>
      <w:r>
        <w:t>Claims Reimbursement Form</w:t>
      </w:r>
    </w:p>
    <w:p w14:paraId="2182129C">
      <w:pPr>
        <w:pStyle w:val="23"/>
        <w:spacing w:after="20"/>
      </w:pPr>
      <w:r>
        <w:t>Enrollee name</w:t>
      </w:r>
    </w:p>
    <w:p w14:paraId="1859BAC8">
      <w:pPr>
        <w:pStyle w:val="23"/>
        <w:spacing w:after="20"/>
      </w:pPr>
      <w:r>
        <w:t>Enrollee ID code</w:t>
      </w:r>
    </w:p>
    <w:p w14:paraId="280E8063">
      <w:pPr>
        <w:pStyle w:val="23"/>
        <w:spacing w:after="20"/>
      </w:pPr>
      <w:r>
        <w:t>Bank details</w:t>
      </w:r>
    </w:p>
    <w:p w14:paraId="1599E2BD">
      <w:pPr>
        <w:pStyle w:val="23"/>
        <w:spacing w:after="20"/>
      </w:pPr>
      <w:r>
        <w:t>Original copy of receipt</w:t>
      </w:r>
    </w:p>
    <w:p w14:paraId="167E734E">
      <w:pPr>
        <w:pStyle w:val="23"/>
        <w:spacing w:after="20"/>
      </w:pPr>
      <w:r>
        <w:t>Medical report</w:t>
      </w:r>
    </w:p>
    <w:p w14:paraId="3CAA9E24">
      <w:pPr>
        <w:spacing w:before="80"/>
        <w:jc w:val="center"/>
      </w:pPr>
      <w:r>
        <w:rPr>
          <w:sz w:val="18"/>
        </w:rPr>
        <w:t>____________________        ____________________</w:t>
      </w:r>
    </w:p>
    <w:p w14:paraId="340AC2C1">
      <w:pPr>
        <w:jc w:val="center"/>
      </w:pPr>
      <w:r>
        <w:rPr>
          <w:b/>
          <w:sz w:val="16"/>
        </w:rPr>
        <w:t>AO (Claims Officer)        SO (Client Service Officer)</w:t>
      </w:r>
    </w:p>
    <w:p w14:paraId="67340513">
      <w:pPr>
        <w:pStyle w:val="3"/>
      </w:pPr>
      <w:r>
        <w:rPr>
          <w:b/>
          <w:color w:val="1F4E79"/>
        </w:rPr>
        <w:t>FINANCE OPERATION</w:t>
      </w:r>
      <w:r>
        <w:rPr>
          <w:b/>
          <w:color w:val="C00000"/>
          <w:highlight w:val="yellow"/>
        </w:rPr>
        <w:t xml:space="preserve">  Timeline: After refund payment has been made</w:t>
      </w:r>
    </w:p>
    <w:p w14:paraId="3F630ECC">
      <w:r>
        <w:t xml:space="preserve">Finance Operation shall send the list of refund payments made to </w:t>
      </w:r>
      <w:r>
        <w:rPr>
          <w:rFonts w:hint="default"/>
          <w:lang w:val="en-US"/>
        </w:rPr>
        <w:t>enrollees</w:t>
      </w:r>
      <w:r>
        <w:t xml:space="preserve"> via email, including date of payment, amount paid, enrollee name, and enrollee ID code.</w:t>
      </w:r>
    </w:p>
    <w:p w14:paraId="6487A7D2">
      <w:pPr>
        <w:spacing w:before="80"/>
        <w:jc w:val="center"/>
      </w:pPr>
      <w:r>
        <w:rPr>
          <w:sz w:val="18"/>
        </w:rPr>
        <w:t>____________________        ____________________</w:t>
      </w:r>
    </w:p>
    <w:p w14:paraId="463D2D8B">
      <w:pPr>
        <w:jc w:val="center"/>
      </w:pPr>
      <w:r>
        <w:rPr>
          <w:b/>
          <w:sz w:val="16"/>
        </w:rPr>
        <w:t>AO (Finance Operation Officer)        SO (Client Service Officer)</w:t>
      </w:r>
    </w:p>
    <w:p w14:paraId="646EFCE5">
      <w:pPr>
        <w:pStyle w:val="2"/>
      </w:pPr>
      <w:r>
        <w:t>3. ENROLLEE MANAGEMENT</w:t>
      </w:r>
    </w:p>
    <w:p w14:paraId="78B10F14">
      <w:pPr>
        <w:pStyle w:val="3"/>
      </w:pPr>
      <w:r>
        <w:rPr>
          <w:b/>
          <w:color w:val="1F4E79"/>
        </w:rPr>
        <w:t>REGISTRATION</w:t>
      </w:r>
      <w:r>
        <w:rPr>
          <w:b/>
          <w:color w:val="C00000"/>
          <w:highlight w:val="yellow"/>
        </w:rPr>
        <w:t xml:space="preserve">  Timeline: 1-3 working days</w:t>
      </w:r>
    </w:p>
    <w:p w14:paraId="7D985D2D">
      <w:r>
        <w:t>Registration begins when Business Development has forwarded the potential enrollee list and Finance Services has given payment sign-off. Client Services shall register enrollees on the portal by bulk upload or unit upload.</w:t>
      </w:r>
    </w:p>
    <w:p w14:paraId="271D4BBD">
      <w:pPr>
        <w:pStyle w:val="23"/>
        <w:spacing w:after="20"/>
      </w:pPr>
      <w:r>
        <w:t>Surname</w:t>
      </w:r>
    </w:p>
    <w:p w14:paraId="2FF14350">
      <w:pPr>
        <w:pStyle w:val="23"/>
        <w:spacing w:after="20"/>
      </w:pPr>
      <w:r>
        <w:t>First name</w:t>
      </w:r>
    </w:p>
    <w:p w14:paraId="64242105">
      <w:pPr>
        <w:pStyle w:val="23"/>
        <w:spacing w:after="20"/>
      </w:pPr>
      <w:r>
        <w:t>Other names</w:t>
      </w:r>
    </w:p>
    <w:p w14:paraId="5974945E">
      <w:pPr>
        <w:pStyle w:val="23"/>
        <w:spacing w:after="20"/>
      </w:pPr>
      <w:r>
        <w:t>Date of birth</w:t>
      </w:r>
    </w:p>
    <w:p w14:paraId="044D6B95">
      <w:pPr>
        <w:pStyle w:val="23"/>
        <w:spacing w:after="20"/>
      </w:pPr>
      <w:r>
        <w:t>Email address</w:t>
      </w:r>
    </w:p>
    <w:p w14:paraId="03990A7E">
      <w:pPr>
        <w:pStyle w:val="23"/>
        <w:spacing w:after="20"/>
      </w:pPr>
      <w:r>
        <w:t>Phone number</w:t>
      </w:r>
    </w:p>
    <w:p w14:paraId="18762384">
      <w:pPr>
        <w:pStyle w:val="23"/>
        <w:spacing w:after="20"/>
      </w:pPr>
      <w:r>
        <w:t>Gender</w:t>
      </w:r>
    </w:p>
    <w:p w14:paraId="628C1FA2">
      <w:pPr>
        <w:pStyle w:val="23"/>
        <w:spacing w:after="20"/>
      </w:pPr>
      <w:r>
        <w:t>Home address</w:t>
      </w:r>
    </w:p>
    <w:p w14:paraId="30827CA9">
      <w:pPr>
        <w:pStyle w:val="23"/>
        <w:spacing w:after="20"/>
      </w:pPr>
      <w:r>
        <w:t>Number of dependants</w:t>
      </w:r>
    </w:p>
    <w:p w14:paraId="5E93EC59">
      <w:pPr>
        <w:pStyle w:val="23"/>
        <w:spacing w:after="20"/>
      </w:pPr>
      <w:r>
        <w:t>Staff ID, where available</w:t>
      </w:r>
    </w:p>
    <w:p w14:paraId="16B4E8CB">
      <w:pPr>
        <w:pStyle w:val="23"/>
        <w:spacing w:after="20"/>
      </w:pPr>
      <w:r>
        <w:t>Provider name</w:t>
      </w:r>
    </w:p>
    <w:p w14:paraId="2C1E8326">
      <w:pPr>
        <w:pStyle w:val="23"/>
        <w:spacing w:after="20"/>
      </w:pPr>
      <w:r>
        <w:t>Location</w:t>
      </w:r>
    </w:p>
    <w:p w14:paraId="2A7B6013">
      <w:pPr>
        <w:pStyle w:val="3"/>
      </w:pPr>
      <w:r>
        <w:t>Portal Registration Process</w:t>
      </w:r>
    </w:p>
    <w:p w14:paraId="67C1B432">
      <w:pPr>
        <w:pStyle w:val="29"/>
        <w:spacing w:after="20"/>
      </w:pPr>
      <w:r>
        <w:t>Visit https://office.medicalpartners.ng/cs/enrolleelist</w:t>
      </w:r>
    </w:p>
    <w:p w14:paraId="68B95A0C">
      <w:pPr>
        <w:pStyle w:val="29"/>
        <w:spacing w:after="20"/>
      </w:pPr>
      <w:r>
        <w:t>Click Add Enrollee</w:t>
      </w:r>
    </w:p>
    <w:p w14:paraId="52D3190D">
      <w:pPr>
        <w:pStyle w:val="29"/>
        <w:spacing w:after="20"/>
      </w:pPr>
      <w:r>
        <w:t>Click Upload Enrollees for bulk upload</w:t>
      </w:r>
    </w:p>
    <w:p w14:paraId="55E0D55D">
      <w:pPr>
        <w:pStyle w:val="29"/>
        <w:spacing w:after="20"/>
      </w:pPr>
      <w:r>
        <w:t>Click Add Unit Upload for individual registration</w:t>
      </w:r>
    </w:p>
    <w:p w14:paraId="0BD3576D">
      <w:pPr>
        <w:pStyle w:val="29"/>
        <w:spacing w:after="20"/>
      </w:pPr>
      <w:r>
        <w:t>Insert enrollee details</w:t>
      </w:r>
    </w:p>
    <w:p w14:paraId="0B255ECD">
      <w:pPr>
        <w:pStyle w:val="29"/>
        <w:spacing w:after="20"/>
      </w:pPr>
      <w:r>
        <w:t>Review the information</w:t>
      </w:r>
    </w:p>
    <w:p w14:paraId="1F450336">
      <w:pPr>
        <w:pStyle w:val="29"/>
        <w:spacing w:after="20"/>
      </w:pPr>
      <w:r>
        <w:t>Click Save Changes</w:t>
      </w:r>
    </w:p>
    <w:p w14:paraId="69580364">
      <w:pPr>
        <w:pStyle w:val="29"/>
        <w:spacing w:after="20"/>
      </w:pPr>
      <w:r>
        <w:t>Confirm successful registration</w:t>
      </w:r>
    </w:p>
    <w:p w14:paraId="7A285593">
      <w:pPr>
        <w:pStyle w:val="3"/>
      </w:pPr>
      <w:r>
        <w:rPr>
          <w:b/>
          <w:color w:val="1F4E79"/>
        </w:rPr>
        <w:t>POST-REGISTRATION PROCESS</w:t>
      </w:r>
      <w:r>
        <w:rPr>
          <w:b/>
          <w:color w:val="C00000"/>
          <w:highlight w:val="yellow"/>
        </w:rPr>
        <w:t xml:space="preserve">  Timeline: Immediately after registration</w:t>
      </w:r>
    </w:p>
    <w:p w14:paraId="1805AA40">
      <w:pPr>
        <w:pStyle w:val="23"/>
        <w:spacing w:after="20"/>
      </w:pPr>
      <w:r>
        <w:t>Ensure all additions are reflected on the portal.</w:t>
      </w:r>
    </w:p>
    <w:p w14:paraId="6D2BE9F2">
      <w:pPr>
        <w:pStyle w:val="23"/>
        <w:spacing w:after="20"/>
      </w:pPr>
      <w:r>
        <w:t>Ensure delisted enrollees are removed or deactivated.</w:t>
      </w:r>
    </w:p>
    <w:p w14:paraId="167FFEC3">
      <w:pPr>
        <w:pStyle w:val="23"/>
        <w:spacing w:after="20"/>
      </w:pPr>
      <w:r>
        <w:t>Generate enrollee lists for emergency cases when needed.</w:t>
      </w:r>
    </w:p>
    <w:p w14:paraId="024C570B">
      <w:pPr>
        <w:pStyle w:val="23"/>
        <w:spacing w:after="20"/>
      </w:pPr>
      <w:r>
        <w:t xml:space="preserve">Prepare for </w:t>
      </w:r>
      <w:r>
        <w:rPr>
          <w:lang w:val="en-US"/>
        </w:rPr>
        <w:t>on-boarding</w:t>
      </w:r>
      <w:r>
        <w:t xml:space="preserve"> and orientation where applicable.</w:t>
      </w:r>
    </w:p>
    <w:p w14:paraId="2A1E0A3E">
      <w:pPr>
        <w:spacing w:before="80"/>
        <w:jc w:val="center"/>
      </w:pPr>
      <w:r>
        <w:rPr>
          <w:sz w:val="18"/>
        </w:rPr>
        <w:t>____________________        ____________________</w:t>
      </w:r>
    </w:p>
    <w:p w14:paraId="2613414B">
      <w:pPr>
        <w:jc w:val="center"/>
      </w:pPr>
      <w:r>
        <w:rPr>
          <w:b/>
          <w:sz w:val="16"/>
        </w:rPr>
        <w:t>AO (Client Service Officer)        SO (Head of Operations)</w:t>
      </w:r>
    </w:p>
    <w:p w14:paraId="00EF4147">
      <w:pPr>
        <w:pStyle w:val="3"/>
      </w:pPr>
      <w:r>
        <w:rPr>
          <w:b/>
          <w:color w:val="1F4E79"/>
        </w:rPr>
        <w:t>ONBOARDING PROCESS</w:t>
      </w:r>
      <w:r>
        <w:rPr>
          <w:b/>
          <w:color w:val="C00000"/>
          <w:highlight w:val="yellow"/>
        </w:rPr>
        <w:t xml:space="preserve">  Timeline: Within 2 weeks after sign-up</w:t>
      </w:r>
    </w:p>
    <w:p w14:paraId="04AFF7E5">
      <w:r>
        <w:t xml:space="preserve">The </w:t>
      </w:r>
      <w:r>
        <w:rPr>
          <w:lang w:val="en-US"/>
        </w:rPr>
        <w:t>on-boarding</w:t>
      </w:r>
      <w:r>
        <w:t xml:space="preserve"> process introduces new clients and enrollees to the Medical Partners healthcare scheme. It helps enrollees understand their benefits</w:t>
      </w:r>
      <w:r>
        <w:rPr>
          <w:rFonts w:hint="default"/>
          <w:lang w:val="en-US"/>
        </w:rPr>
        <w:t xml:space="preserve">, </w:t>
      </w:r>
      <w:r>
        <w:t>assigned providers, care access process, and support channels.</w:t>
      </w:r>
    </w:p>
    <w:p w14:paraId="47592878">
      <w:pPr>
        <w:pStyle w:val="3"/>
      </w:pPr>
      <w:r>
        <w:t>Welcome Message</w:t>
      </w:r>
    </w:p>
    <w:p w14:paraId="735FD68A">
      <w:pPr>
        <w:pStyle w:val="23"/>
        <w:spacing w:after="20"/>
      </w:pPr>
      <w:r>
        <w:t>Full name</w:t>
      </w:r>
    </w:p>
    <w:p w14:paraId="62551482">
      <w:pPr>
        <w:pStyle w:val="23"/>
        <w:spacing w:after="20"/>
      </w:pPr>
      <w:r>
        <w:t>Enrollee ID</w:t>
      </w:r>
    </w:p>
    <w:p w14:paraId="2461417A">
      <w:pPr>
        <w:pStyle w:val="23"/>
        <w:spacing w:after="20"/>
      </w:pPr>
      <w:r>
        <w:t>Name of provider</w:t>
      </w:r>
    </w:p>
    <w:p w14:paraId="2CE4605C">
      <w:pPr>
        <w:pStyle w:val="23"/>
        <w:spacing w:after="20"/>
      </w:pPr>
      <w:r>
        <w:t>Address of assigned provider</w:t>
      </w:r>
    </w:p>
    <w:p w14:paraId="297BA0E4">
      <w:pPr>
        <w:pStyle w:val="23"/>
        <w:spacing w:after="20"/>
      </w:pPr>
      <w:r>
        <w:t>Client Services contact information</w:t>
      </w:r>
    </w:p>
    <w:p w14:paraId="6F05726D">
      <w:pPr>
        <w:pStyle w:val="23"/>
        <w:spacing w:after="20"/>
      </w:pPr>
      <w:r>
        <w:t>Portal or app access information, where applicable</w:t>
      </w:r>
    </w:p>
    <w:p w14:paraId="72B56500">
      <w:pPr>
        <w:pStyle w:val="3"/>
      </w:pPr>
      <w:r>
        <w:t>Orientation for New Clients</w:t>
      </w:r>
    </w:p>
    <w:p w14:paraId="44CB8643">
      <w:pPr>
        <w:pStyle w:val="23"/>
        <w:spacing w:after="20"/>
      </w:pPr>
      <w:r>
        <w:rPr>
          <w:rFonts w:hint="default"/>
          <w:lang w:val="en-US"/>
        </w:rPr>
        <w:t>Schedule a date</w:t>
      </w:r>
      <w:r>
        <w:t xml:space="preserve"> with employer </w:t>
      </w:r>
      <w:r>
        <w:rPr>
          <w:rFonts w:hint="default"/>
          <w:lang w:val="en-US"/>
        </w:rPr>
        <w:t>via Email</w:t>
      </w:r>
      <w:r>
        <w:t>.</w:t>
      </w:r>
    </w:p>
    <w:p w14:paraId="41578497">
      <w:pPr>
        <w:pStyle w:val="23"/>
        <w:spacing w:after="20"/>
      </w:pPr>
      <w:r>
        <w:t>Educate enrollees on plan benefits</w:t>
      </w:r>
      <w:r>
        <w:rPr>
          <w:rFonts w:hint="default"/>
          <w:lang w:val="en-US"/>
        </w:rPr>
        <w:t>,</w:t>
      </w:r>
      <w:r>
        <w:t>care access process.</w:t>
      </w:r>
    </w:p>
    <w:p w14:paraId="180F2114">
      <w:pPr>
        <w:pStyle w:val="23"/>
        <w:spacing w:after="20"/>
      </w:pPr>
      <w:r>
        <w:t>Introduce care managers and support contacts.</w:t>
      </w:r>
    </w:p>
    <w:p w14:paraId="2AD62B7F">
      <w:pPr>
        <w:pStyle w:val="23"/>
        <w:spacing w:after="20"/>
      </w:pPr>
      <w:r>
        <w:t>Provide welcome packs and necessary materials.</w:t>
      </w:r>
    </w:p>
    <w:p w14:paraId="5E453B60">
      <w:pPr>
        <w:pStyle w:val="23"/>
        <w:spacing w:after="20"/>
      </w:pPr>
      <w:r>
        <w:t>Hold question-and-answer session.</w:t>
      </w:r>
    </w:p>
    <w:p w14:paraId="2E86760F">
      <w:pPr>
        <w:pStyle w:val="23"/>
        <w:spacing w:after="20"/>
      </w:pPr>
      <w:r>
        <w:t>Document the orientation report.</w:t>
      </w:r>
    </w:p>
    <w:p w14:paraId="50817FAC">
      <w:pPr>
        <w:spacing w:before="80"/>
        <w:jc w:val="center"/>
      </w:pPr>
      <w:r>
        <w:rPr>
          <w:sz w:val="18"/>
        </w:rPr>
        <w:t>____________________        ____________________</w:t>
      </w:r>
    </w:p>
    <w:p w14:paraId="1173FD32">
      <w:pPr>
        <w:jc w:val="center"/>
      </w:pPr>
      <w:r>
        <w:rPr>
          <w:b/>
          <w:sz w:val="16"/>
        </w:rPr>
        <w:t>AO (Client Service Officer)        SO (Business Development Officer)</w:t>
      </w:r>
    </w:p>
    <w:p w14:paraId="572973E7">
      <w:pPr>
        <w:pStyle w:val="2"/>
      </w:pPr>
      <w:r>
        <w:t>4. ACCOUNT MANAGEMENT</w:t>
      </w:r>
    </w:p>
    <w:p w14:paraId="16670871">
      <w:pPr>
        <w:pStyle w:val="3"/>
      </w:pPr>
      <w:r>
        <w:rPr>
          <w:b/>
          <w:color w:val="1F4E79"/>
        </w:rPr>
        <w:t>INCLUSION AND DEACTIVATION</w:t>
      </w:r>
      <w:r>
        <w:rPr>
          <w:b/>
          <w:color w:val="C00000"/>
          <w:highlight w:val="yellow"/>
        </w:rPr>
        <w:t xml:space="preserve">  Timeline: Immediately after receipt of approved request</w:t>
      </w:r>
    </w:p>
    <w:p w14:paraId="404B9C9D">
      <w:r>
        <w:t>Business Development shall check up on clients to confirm account status, renewal, expiration, issues, inclusion, or deactivation requests. Approved lists shall be sent to Client Services for update.</w:t>
      </w:r>
    </w:p>
    <w:p w14:paraId="1ABA5D15">
      <w:pPr>
        <w:pStyle w:val="3"/>
      </w:pPr>
      <w:r>
        <w:t>Inclusion Process</w:t>
      </w:r>
    </w:p>
    <w:p w14:paraId="54846D63">
      <w:pPr>
        <w:pStyle w:val="23"/>
        <w:spacing w:after="20"/>
      </w:pPr>
      <w:r>
        <w:t>Receive approved inclusion request.</w:t>
      </w:r>
    </w:p>
    <w:p w14:paraId="590E0023">
      <w:pPr>
        <w:pStyle w:val="23"/>
        <w:spacing w:after="20"/>
      </w:pPr>
      <w:r>
        <w:t>Confirm that all enrollee details are complete.</w:t>
      </w:r>
    </w:p>
    <w:p w14:paraId="3654E7CD">
      <w:pPr>
        <w:pStyle w:val="23"/>
        <w:spacing w:after="20"/>
      </w:pPr>
      <w:r>
        <w:t>Add the enrollee on the portal.</w:t>
      </w:r>
    </w:p>
    <w:p w14:paraId="23AFDCF7">
      <w:pPr>
        <w:pStyle w:val="23"/>
        <w:spacing w:after="20"/>
      </w:pPr>
      <w:r>
        <w:t>Confirm assigned provider.</w:t>
      </w:r>
    </w:p>
    <w:p w14:paraId="161A1F51">
      <w:pPr>
        <w:pStyle w:val="23"/>
        <w:spacing w:after="20"/>
      </w:pPr>
      <w:r>
        <w:t>Update the internal enrollee list.</w:t>
      </w:r>
    </w:p>
    <w:p w14:paraId="20C7C312">
      <w:pPr>
        <w:pStyle w:val="23"/>
        <w:spacing w:after="20"/>
      </w:pPr>
      <w:r>
        <w:t>Notify the requesting officer or client HR after completion.</w:t>
      </w:r>
    </w:p>
    <w:p w14:paraId="69F6F598">
      <w:pPr>
        <w:pStyle w:val="3"/>
      </w:pPr>
      <w:r>
        <w:t>Deactivation Process</w:t>
      </w:r>
    </w:p>
    <w:p w14:paraId="65193097">
      <w:pPr>
        <w:pStyle w:val="23"/>
        <w:spacing w:after="20"/>
      </w:pPr>
      <w:r>
        <w:t>Receive approved deactivation request.</w:t>
      </w:r>
    </w:p>
    <w:p w14:paraId="78FE00B5">
      <w:pPr>
        <w:pStyle w:val="23"/>
        <w:spacing w:after="20"/>
      </w:pPr>
      <w:r>
        <w:t>Confirm enrollee details and ID.</w:t>
      </w:r>
    </w:p>
    <w:p w14:paraId="4AC2809E">
      <w:pPr>
        <w:pStyle w:val="23"/>
        <w:spacing w:after="20"/>
      </w:pPr>
      <w:r>
        <w:t>Deactivate enrollee on the portal.</w:t>
      </w:r>
    </w:p>
    <w:p w14:paraId="0B392797">
      <w:pPr>
        <w:pStyle w:val="23"/>
        <w:spacing w:after="20"/>
      </w:pPr>
      <w:r>
        <w:t>Update internal enrollee list.</w:t>
      </w:r>
    </w:p>
    <w:p w14:paraId="6C638191">
      <w:pPr>
        <w:pStyle w:val="23"/>
        <w:spacing w:after="20"/>
      </w:pPr>
      <w:r>
        <w:t>Notify the requesting officer or client HR.</w:t>
      </w:r>
    </w:p>
    <w:p w14:paraId="6E054732">
      <w:pPr>
        <w:pStyle w:val="23"/>
        <w:spacing w:after="20"/>
      </w:pPr>
      <w:r>
        <w:t>Keep record of the request.</w:t>
      </w:r>
    </w:p>
    <w:p w14:paraId="29B68CB5">
      <w:pPr>
        <w:spacing w:before="80"/>
        <w:jc w:val="center"/>
      </w:pPr>
      <w:r>
        <w:rPr>
          <w:sz w:val="18"/>
        </w:rPr>
        <w:t>____________________        ____________________</w:t>
      </w:r>
    </w:p>
    <w:p w14:paraId="055FC1ED">
      <w:pPr>
        <w:jc w:val="center"/>
      </w:pPr>
      <w:r>
        <w:rPr>
          <w:b/>
          <w:sz w:val="16"/>
        </w:rPr>
        <w:t>AO (Business Development Officer)        SO (Client Service Officer)</w:t>
      </w:r>
    </w:p>
    <w:p w14:paraId="50AEB173">
      <w:pPr>
        <w:pStyle w:val="3"/>
      </w:pPr>
      <w:r>
        <w:rPr>
          <w:b/>
          <w:color w:val="1F4E79"/>
        </w:rPr>
        <w:t>CORRESPONDENCE</w:t>
      </w:r>
      <w:r>
        <w:rPr>
          <w:b/>
          <w:color w:val="C00000"/>
          <w:highlight w:val="yellow"/>
        </w:rPr>
        <w:t xml:space="preserve">  Timeline: Immediately</w:t>
      </w:r>
    </w:p>
    <w:p w14:paraId="417B53D2">
      <w:r>
        <w:t>Correspondence refers to incoming and outgoing mails, letters, requests, and official communication handled by Client Services.</w:t>
      </w:r>
    </w:p>
    <w:p w14:paraId="03809E7A">
      <w:pPr>
        <w:pStyle w:val="3"/>
      </w:pPr>
      <w:r>
        <w:t>Incoming Correspondence</w:t>
      </w:r>
    </w:p>
    <w:p w14:paraId="1F94C427">
      <w:pPr>
        <w:pStyle w:val="23"/>
        <w:spacing w:after="20"/>
      </w:pPr>
      <w:r>
        <w:t>Acknowledge receipt.</w:t>
      </w:r>
    </w:p>
    <w:p w14:paraId="0E06D149">
      <w:pPr>
        <w:pStyle w:val="23"/>
        <w:spacing w:after="20"/>
      </w:pPr>
      <w:r>
        <w:t>Review the content.</w:t>
      </w:r>
    </w:p>
    <w:p w14:paraId="0852D191">
      <w:pPr>
        <w:pStyle w:val="23"/>
        <w:spacing w:after="20"/>
      </w:pPr>
      <w:r>
        <w:t>Forward to the appropriate unit where necessary.</w:t>
      </w:r>
    </w:p>
    <w:p w14:paraId="3ABF4B3E">
      <w:pPr>
        <w:pStyle w:val="23"/>
        <w:spacing w:after="20"/>
      </w:pPr>
      <w:r>
        <w:t>Act on Client Services-related requests.</w:t>
      </w:r>
    </w:p>
    <w:p w14:paraId="49881490">
      <w:pPr>
        <w:pStyle w:val="23"/>
        <w:spacing w:after="20"/>
      </w:pPr>
      <w:r>
        <w:t>Give feedback to the sender.</w:t>
      </w:r>
    </w:p>
    <w:p w14:paraId="2FFF61DB">
      <w:pPr>
        <w:pStyle w:val="23"/>
        <w:spacing w:after="20"/>
      </w:pPr>
      <w:r>
        <w:t>Document where necessary.</w:t>
      </w:r>
    </w:p>
    <w:p w14:paraId="53CBD053">
      <w:pPr>
        <w:pStyle w:val="3"/>
      </w:pPr>
      <w:r>
        <w:t>Outgoing Correspondence</w:t>
      </w:r>
    </w:p>
    <w:p w14:paraId="5007B2BC">
      <w:pPr>
        <w:pStyle w:val="23"/>
        <w:spacing w:after="20"/>
      </w:pPr>
      <w:r>
        <w:t>Prepare mail or document.</w:t>
      </w:r>
    </w:p>
    <w:p w14:paraId="0C7AB956">
      <w:pPr>
        <w:pStyle w:val="23"/>
        <w:spacing w:after="20"/>
      </w:pPr>
      <w:r>
        <w:t>Register in the outgoing mail register.</w:t>
      </w:r>
    </w:p>
    <w:p w14:paraId="73B92E6A">
      <w:pPr>
        <w:pStyle w:val="23"/>
        <w:spacing w:after="20"/>
      </w:pPr>
      <w:r>
        <w:t>Send through the appropriate channel.</w:t>
      </w:r>
    </w:p>
    <w:p w14:paraId="7F484958">
      <w:pPr>
        <w:pStyle w:val="23"/>
        <w:spacing w:after="20"/>
      </w:pPr>
      <w:r>
        <w:t>Confirm receipt.</w:t>
      </w:r>
    </w:p>
    <w:p w14:paraId="4C93DD00">
      <w:pPr>
        <w:pStyle w:val="23"/>
        <w:spacing w:after="20"/>
      </w:pPr>
      <w:r>
        <w:t>File evidence of delivery where necessary.</w:t>
      </w:r>
    </w:p>
    <w:p w14:paraId="5F36A52A">
      <w:pPr>
        <w:spacing w:before="80"/>
        <w:jc w:val="center"/>
      </w:pPr>
      <w:r>
        <w:rPr>
          <w:sz w:val="18"/>
        </w:rPr>
        <w:t>____________________        ____________________</w:t>
      </w:r>
    </w:p>
    <w:p w14:paraId="4AE52AA7">
      <w:pPr>
        <w:jc w:val="center"/>
      </w:pPr>
      <w:r>
        <w:rPr>
          <w:b/>
          <w:sz w:val="16"/>
        </w:rPr>
        <w:t>AO (Client Service Officer)        SO (Client Service Manager)</w:t>
      </w:r>
    </w:p>
    <w:p w14:paraId="7617C071">
      <w:pPr>
        <w:pStyle w:val="3"/>
      </w:pPr>
      <w:r>
        <w:rPr>
          <w:b/>
          <w:color w:val="1F4E79"/>
        </w:rPr>
        <w:t>BIRTHDAY MESSAGES</w:t>
      </w:r>
      <w:r>
        <w:rPr>
          <w:b/>
          <w:color w:val="C00000"/>
          <w:highlight w:val="yellow"/>
        </w:rPr>
        <w:t xml:space="preserve">  Timeline: Every morning</w:t>
      </w:r>
    </w:p>
    <w:p w14:paraId="4BB73674">
      <w:r>
        <w:t>Client Services shall send birthday messages to registered enrollees using the approved SMS format.</w:t>
      </w:r>
    </w:p>
    <w:p w14:paraId="4155BE18">
      <w:pPr>
        <w:pStyle w:val="23"/>
        <w:spacing w:after="20"/>
      </w:pPr>
      <w:r>
        <w:t>Generate the list of birthday celebrants.</w:t>
      </w:r>
    </w:p>
    <w:p w14:paraId="52DE92D1">
      <w:pPr>
        <w:pStyle w:val="23"/>
        <w:spacing w:after="20"/>
      </w:pPr>
      <w:r>
        <w:t>Confirm names and phone numbers.</w:t>
      </w:r>
    </w:p>
    <w:p w14:paraId="33FB76BC">
      <w:pPr>
        <w:pStyle w:val="23"/>
        <w:spacing w:after="20"/>
      </w:pPr>
      <w:r>
        <w:t>Send the approved birthday SMS.</w:t>
      </w:r>
    </w:p>
    <w:p w14:paraId="32771276">
      <w:pPr>
        <w:pStyle w:val="23"/>
        <w:spacing w:after="20"/>
      </w:pPr>
      <w:r>
        <w:t>Record that the message has been sent.</w:t>
      </w:r>
    </w:p>
    <w:p w14:paraId="00E317BC">
      <w:pPr>
        <w:pStyle w:val="3"/>
      </w:pPr>
      <w:r>
        <w:t>Special Birthday</w:t>
      </w:r>
    </w:p>
    <w:p w14:paraId="1DF49242">
      <w:r>
        <w:t>Special birthday recognition applies to HR representatives, Managing Directors of client companies, staff of Medical Partners Ltd, and other persons approved by management.</w:t>
      </w:r>
    </w:p>
    <w:p w14:paraId="5E7C6974">
      <w:pPr>
        <w:pStyle w:val="23"/>
        <w:spacing w:after="20"/>
      </w:pPr>
      <w:r>
        <w:t>Send birthday SMS.</w:t>
      </w:r>
    </w:p>
    <w:p w14:paraId="2FCC00C0">
      <w:pPr>
        <w:pStyle w:val="23"/>
        <w:spacing w:after="20"/>
      </w:pPr>
      <w:r>
        <w:t>Place birthday call.</w:t>
      </w:r>
    </w:p>
    <w:p w14:paraId="2576DFD9">
      <w:pPr>
        <w:pStyle w:val="23"/>
        <w:spacing w:after="20"/>
      </w:pPr>
      <w:r>
        <w:t>Arrange cake or gift where approved.</w:t>
      </w:r>
    </w:p>
    <w:p w14:paraId="52237DEE">
      <w:pPr>
        <w:pStyle w:val="23"/>
        <w:spacing w:after="20"/>
      </w:pPr>
      <w:r>
        <w:t>Confirm delivery.</w:t>
      </w:r>
    </w:p>
    <w:p w14:paraId="4AF6D5E6">
      <w:pPr>
        <w:pStyle w:val="23"/>
        <w:spacing w:after="20"/>
      </w:pPr>
      <w:r>
        <w:t>Document action taken.</w:t>
      </w:r>
    </w:p>
    <w:p w14:paraId="3018D55B">
      <w:pPr>
        <w:spacing w:before="80"/>
        <w:jc w:val="center"/>
      </w:pPr>
      <w:r>
        <w:rPr>
          <w:sz w:val="18"/>
        </w:rPr>
        <w:t>____________________        ____________________</w:t>
      </w:r>
    </w:p>
    <w:p w14:paraId="099B64CB">
      <w:pPr>
        <w:jc w:val="center"/>
      </w:pPr>
      <w:r>
        <w:rPr>
          <w:b/>
          <w:sz w:val="16"/>
        </w:rPr>
        <w:t>AO (Client Service Officer)        SO (Client Service Manager)</w:t>
      </w:r>
    </w:p>
    <w:p w14:paraId="6DDE559D">
      <w:pPr>
        <w:pStyle w:val="2"/>
      </w:pPr>
      <w:r>
        <w:t>5. INCIDENCES AND EXCEPTIONS</w:t>
      </w:r>
    </w:p>
    <w:p w14:paraId="41C3730F">
      <w:r>
        <w:t>Incidences and exceptions are special cases or service issues that require documentation, escalation, and resolution. These include claims reimbursement, ticketing, change of hospital, service access complaints, provider-related issues, and emergency cases.</w:t>
      </w:r>
    </w:p>
    <w:p w14:paraId="67AFDBD8">
      <w:pPr>
        <w:pStyle w:val="3"/>
      </w:pPr>
      <w:r>
        <w:rPr>
          <w:b/>
          <w:color w:val="1F4E79"/>
        </w:rPr>
        <w:t>CLAIMS REIMBURSEMENT</w:t>
      </w:r>
      <w:r>
        <w:rPr>
          <w:b/>
          <w:color w:val="C00000"/>
          <w:highlight w:val="yellow"/>
        </w:rPr>
        <w:t xml:space="preserve">  Timeline: 14 working days</w:t>
      </w:r>
    </w:p>
    <w:p w14:paraId="2BC72BE1">
      <w:r>
        <w:t>Claims reimbursement applies where an enrollee paid out of pocket due to access denial, service failure, out-of-station treatment, or emergency cases.</w:t>
      </w:r>
    </w:p>
    <w:p w14:paraId="10ACCD38">
      <w:pPr>
        <w:pStyle w:val="3"/>
      </w:pPr>
      <w:r>
        <w:t>Required Documents</w:t>
      </w:r>
    </w:p>
    <w:p w14:paraId="298DF31B">
      <w:pPr>
        <w:pStyle w:val="23"/>
        <w:spacing w:after="20"/>
      </w:pPr>
      <w:r>
        <w:t>Claims Reimbursement Form</w:t>
      </w:r>
    </w:p>
    <w:p w14:paraId="2F0E80B6">
      <w:pPr>
        <w:pStyle w:val="23"/>
        <w:spacing w:after="20"/>
      </w:pPr>
      <w:r>
        <w:t>Enrollee name</w:t>
      </w:r>
    </w:p>
    <w:p w14:paraId="7EC5FB38">
      <w:pPr>
        <w:pStyle w:val="23"/>
        <w:spacing w:after="20"/>
      </w:pPr>
      <w:r>
        <w:t>Enrollee ID code</w:t>
      </w:r>
    </w:p>
    <w:p w14:paraId="37E9FBB3">
      <w:pPr>
        <w:pStyle w:val="23"/>
        <w:spacing w:after="20"/>
      </w:pPr>
      <w:r>
        <w:t>Bank details</w:t>
      </w:r>
    </w:p>
    <w:p w14:paraId="341E0BAA">
      <w:pPr>
        <w:pStyle w:val="23"/>
        <w:spacing w:after="20"/>
      </w:pPr>
      <w:r>
        <w:t>Original copy of receipt</w:t>
      </w:r>
    </w:p>
    <w:p w14:paraId="09BA3C31">
      <w:pPr>
        <w:pStyle w:val="23"/>
        <w:spacing w:after="20"/>
      </w:pPr>
      <w:r>
        <w:t>Medical report</w:t>
      </w:r>
    </w:p>
    <w:p w14:paraId="02FB9922">
      <w:pPr>
        <w:pStyle w:val="3"/>
      </w:pPr>
      <w:r>
        <w:t>Claims Reimbursement Process</w:t>
      </w:r>
    </w:p>
    <w:p w14:paraId="5990A980">
      <w:pPr>
        <w:pStyle w:val="23"/>
        <w:spacing w:after="20"/>
      </w:pPr>
      <w:r>
        <w:t>Receive and acknowledge the request.</w:t>
      </w:r>
    </w:p>
    <w:p w14:paraId="19966EB2">
      <w:pPr>
        <w:pStyle w:val="23"/>
        <w:spacing w:after="20"/>
      </w:pPr>
      <w:r>
        <w:t>Review documents for completeness.</w:t>
      </w:r>
    </w:p>
    <w:p w14:paraId="2CDF0274">
      <w:pPr>
        <w:pStyle w:val="23"/>
        <w:spacing w:after="20"/>
      </w:pPr>
      <w:r>
        <w:t>Enter refund request on the portal.</w:t>
      </w:r>
    </w:p>
    <w:p w14:paraId="7D75170B">
      <w:pPr>
        <w:pStyle w:val="23"/>
        <w:spacing w:after="20"/>
      </w:pPr>
      <w:r>
        <w:t>Upload receipt and medical report.</w:t>
      </w:r>
    </w:p>
    <w:p w14:paraId="7D93B760">
      <w:pPr>
        <w:pStyle w:val="23"/>
        <w:spacing w:after="20"/>
      </w:pPr>
      <w:r>
        <w:t>Submit claim for processing.</w:t>
      </w:r>
    </w:p>
    <w:p w14:paraId="2FBFA95C">
      <w:pPr>
        <w:pStyle w:val="23"/>
        <w:spacing w:after="20"/>
      </w:pPr>
      <w:r>
        <w:t>Follow up with Claims Operation and Finance Operation.</w:t>
      </w:r>
    </w:p>
    <w:p w14:paraId="50134F50">
      <w:pPr>
        <w:pStyle w:val="23"/>
        <w:spacing w:after="20"/>
      </w:pPr>
      <w:r>
        <w:t>Notify enrollee or client once payment is completed.</w:t>
      </w:r>
    </w:p>
    <w:p w14:paraId="01C78057">
      <w:r>
        <w:rPr>
          <w:b/>
        </w:rPr>
        <w:t xml:space="preserve">Documentation Acknowledgement Timeline: </w:t>
      </w:r>
      <w:r>
        <w:rPr>
          <w:b/>
          <w:color w:val="C00000"/>
          <w:highlight w:val="yellow"/>
        </w:rPr>
        <w:t>Within 1 working day</w:t>
      </w:r>
    </w:p>
    <w:p w14:paraId="51CA08AA">
      <w:pPr>
        <w:pStyle w:val="3"/>
      </w:pPr>
      <w:r>
        <w:t>Portal Process for Enrollee Refund</w:t>
      </w:r>
    </w:p>
    <w:p w14:paraId="31A7F216">
      <w:pPr>
        <w:pStyle w:val="29"/>
        <w:spacing w:after="20"/>
      </w:pPr>
      <w:r>
        <w:t>Visit https://office.medicalpartners.ng/enrolleeRefund</w:t>
      </w:r>
    </w:p>
    <w:p w14:paraId="5DA047F4">
      <w:pPr>
        <w:pStyle w:val="29"/>
        <w:spacing w:after="20"/>
      </w:pPr>
      <w:r>
        <w:t>Enter enrollee number</w:t>
      </w:r>
    </w:p>
    <w:p w14:paraId="72343AF8">
      <w:pPr>
        <w:pStyle w:val="29"/>
        <w:spacing w:after="20"/>
      </w:pPr>
      <w:r>
        <w:t>Input all required details</w:t>
      </w:r>
    </w:p>
    <w:p w14:paraId="2F69FC34">
      <w:pPr>
        <w:pStyle w:val="29"/>
        <w:spacing w:after="20"/>
      </w:pPr>
      <w:r>
        <w:t>Add account details</w:t>
      </w:r>
    </w:p>
    <w:p w14:paraId="1381D522">
      <w:pPr>
        <w:pStyle w:val="29"/>
        <w:spacing w:after="20"/>
      </w:pPr>
      <w:r>
        <w:t>Upload receipt and medical report</w:t>
      </w:r>
    </w:p>
    <w:p w14:paraId="603911B3">
      <w:pPr>
        <w:pStyle w:val="29"/>
        <w:spacing w:after="20"/>
      </w:pPr>
      <w:r>
        <w:t>Click Submit Form</w:t>
      </w:r>
    </w:p>
    <w:p w14:paraId="6DD339C0">
      <w:pPr>
        <w:pStyle w:val="29"/>
        <w:spacing w:after="20"/>
      </w:pPr>
      <w:r>
        <w:t>Record request for tracking</w:t>
      </w:r>
    </w:p>
    <w:p w14:paraId="4F5BF063">
      <w:pPr>
        <w:spacing w:before="80"/>
        <w:jc w:val="center"/>
      </w:pPr>
      <w:r>
        <w:rPr>
          <w:sz w:val="18"/>
        </w:rPr>
        <w:t>____________________        ____________________</w:t>
      </w:r>
    </w:p>
    <w:p w14:paraId="0E25D7D4">
      <w:pPr>
        <w:jc w:val="center"/>
      </w:pPr>
      <w:r>
        <w:rPr>
          <w:b/>
          <w:sz w:val="16"/>
        </w:rPr>
        <w:t>AO (Client Service Officer)        SO (Claims Officer)</w:t>
      </w:r>
    </w:p>
    <w:p w14:paraId="5BDA7B74">
      <w:pPr>
        <w:pStyle w:val="3"/>
      </w:pPr>
      <w:r>
        <w:rPr>
          <w:b/>
          <w:color w:val="1F4E79"/>
        </w:rPr>
        <w:t>TICKETING</w:t>
      </w:r>
      <w:r>
        <w:rPr>
          <w:b/>
          <w:color w:val="C00000"/>
          <w:highlight w:val="yellow"/>
        </w:rPr>
        <w:t xml:space="preserve">  Timeline: Immediately</w:t>
      </w:r>
    </w:p>
    <w:p w14:paraId="6865E939">
      <w:r>
        <w:t>The ticketing system is used to manage customer requests, complaints, and service issues. The system creates a ticket that documents the request and tracks resolution.</w:t>
      </w:r>
    </w:p>
    <w:p w14:paraId="7F91422D">
      <w:pPr>
        <w:pStyle w:val="23"/>
        <w:spacing w:after="20"/>
      </w:pPr>
      <w:r>
        <w:t>Receive the complaint or request.</w:t>
      </w:r>
    </w:p>
    <w:p w14:paraId="160AA734">
      <w:pPr>
        <w:pStyle w:val="23"/>
        <w:spacing w:after="20"/>
      </w:pPr>
      <w:r>
        <w:t>Create a ticket on the portal.</w:t>
      </w:r>
    </w:p>
    <w:p w14:paraId="3F2EB3D6">
      <w:pPr>
        <w:pStyle w:val="23"/>
        <w:spacing w:after="20"/>
      </w:pPr>
      <w:r>
        <w:t>Assign ticket to appropriate department.</w:t>
      </w:r>
    </w:p>
    <w:p w14:paraId="26C501B6">
      <w:pPr>
        <w:pStyle w:val="23"/>
        <w:spacing w:after="20"/>
      </w:pPr>
      <w:r>
        <w:t>Monitor progress and follow up.</w:t>
      </w:r>
    </w:p>
    <w:p w14:paraId="62596FDF">
      <w:pPr>
        <w:pStyle w:val="23"/>
        <w:spacing w:after="20"/>
      </w:pPr>
      <w:r>
        <w:t>Provide feedback to customer or enrollee.</w:t>
      </w:r>
    </w:p>
    <w:p w14:paraId="4A242828">
      <w:pPr>
        <w:pStyle w:val="23"/>
        <w:spacing w:after="20"/>
      </w:pPr>
      <w:r>
        <w:t>Close ticket once resolved.</w:t>
      </w:r>
    </w:p>
    <w:p w14:paraId="0DE8C0B7">
      <w:pPr>
        <w:pStyle w:val="23"/>
        <w:spacing w:after="20"/>
      </w:pPr>
      <w:r>
        <w:t>Document the resolution.</w:t>
      </w:r>
    </w:p>
    <w:p w14:paraId="0774D4E7">
      <w:pPr>
        <w:pStyle w:val="3"/>
      </w:pPr>
      <w:r>
        <w:t>Portal Process for Ticketing</w:t>
      </w:r>
    </w:p>
    <w:p w14:paraId="2E30E6A1">
      <w:pPr>
        <w:pStyle w:val="29"/>
        <w:spacing w:after="20"/>
      </w:pPr>
      <w:r>
        <w:t>Visit www.office.medicalpartners.ng</w:t>
      </w:r>
    </w:p>
    <w:p w14:paraId="6B12C260">
      <w:pPr>
        <w:pStyle w:val="29"/>
        <w:spacing w:after="20"/>
      </w:pPr>
      <w:r>
        <w:t>Click Support</w:t>
      </w:r>
    </w:p>
    <w:p w14:paraId="2A526127">
      <w:pPr>
        <w:pStyle w:val="29"/>
        <w:spacing w:after="20"/>
      </w:pPr>
      <w:r>
        <w:t>Complete the form</w:t>
      </w:r>
    </w:p>
    <w:p w14:paraId="0659DB1A">
      <w:pPr>
        <w:pStyle w:val="29"/>
        <w:spacing w:after="20"/>
      </w:pPr>
      <w:r>
        <w:t>Click Create Form</w:t>
      </w:r>
    </w:p>
    <w:p w14:paraId="09403522">
      <w:pPr>
        <w:pStyle w:val="29"/>
        <w:spacing w:after="20"/>
      </w:pPr>
      <w:r>
        <w:t>Track the ticket until resolution</w:t>
      </w:r>
    </w:p>
    <w:p w14:paraId="49D85B45">
      <w:pPr>
        <w:spacing w:before="80"/>
        <w:jc w:val="center"/>
      </w:pPr>
      <w:r>
        <w:rPr>
          <w:sz w:val="18"/>
        </w:rPr>
        <w:t>____________________        ____________________</w:t>
      </w:r>
    </w:p>
    <w:p w14:paraId="4731C2D2">
      <w:pPr>
        <w:jc w:val="center"/>
      </w:pPr>
      <w:r>
        <w:rPr>
          <w:b/>
          <w:sz w:val="16"/>
        </w:rPr>
        <w:t>AO (Client Service Officer)        SO (Client Service Manager)</w:t>
      </w:r>
    </w:p>
    <w:p w14:paraId="717E9CFB">
      <w:pPr>
        <w:pStyle w:val="3"/>
      </w:pPr>
      <w:r>
        <w:rPr>
          <w:b/>
          <w:color w:val="1F4E79"/>
        </w:rPr>
        <w:t>CHANGE OF HOSPITAL</w:t>
      </w:r>
      <w:r>
        <w:rPr>
          <w:b/>
          <w:color w:val="C00000"/>
          <w:highlight w:val="yellow"/>
        </w:rPr>
        <w:t xml:space="preserve">  Timeline: Immediately after approval</w:t>
      </w:r>
    </w:p>
    <w:p w14:paraId="771E5E53">
      <w:r>
        <w:t>Change of hospital may be approved based on dissatisfaction with provider service, relocation, proximity to enrollee residence, or other approved reasons.</w:t>
      </w:r>
    </w:p>
    <w:p w14:paraId="790B653F">
      <w:pPr>
        <w:pStyle w:val="23"/>
        <w:spacing w:after="20"/>
      </w:pPr>
      <w:r>
        <w:t xml:space="preserve">Receive application from </w:t>
      </w:r>
      <w:r>
        <w:rPr>
          <w:rFonts w:hint="default"/>
          <w:lang w:val="en-US"/>
        </w:rPr>
        <w:t xml:space="preserve">enrollee </w:t>
      </w:r>
      <w:r>
        <w:t>or HR via email.</w:t>
      </w:r>
    </w:p>
    <w:p w14:paraId="05F298AC">
      <w:pPr>
        <w:pStyle w:val="23"/>
        <w:spacing w:after="20"/>
      </w:pPr>
      <w:r>
        <w:t>Acknowledge receipt of request.</w:t>
      </w:r>
    </w:p>
    <w:p w14:paraId="4F3E77CF">
      <w:pPr>
        <w:pStyle w:val="23"/>
        <w:spacing w:after="20"/>
      </w:pPr>
      <w:r>
        <w:t>Confirm enrollee details and reason for change.</w:t>
      </w:r>
    </w:p>
    <w:p w14:paraId="1C64D64C">
      <w:pPr>
        <w:pStyle w:val="23"/>
        <w:spacing w:after="20"/>
      </w:pPr>
      <w:r>
        <w:t>Change hospital on the portal.</w:t>
      </w:r>
    </w:p>
    <w:p w14:paraId="5EA24040">
      <w:pPr>
        <w:pStyle w:val="23"/>
        <w:spacing w:after="20"/>
      </w:pPr>
      <w:r>
        <w:t>Prepare schedule for change of hospital.</w:t>
      </w:r>
    </w:p>
    <w:p w14:paraId="54FB53AD">
      <w:pPr>
        <w:pStyle w:val="23"/>
        <w:spacing w:after="20"/>
      </w:pPr>
      <w:r>
        <w:t>Notify enrollee by SMS or email.</w:t>
      </w:r>
    </w:p>
    <w:p w14:paraId="487CBD22">
      <w:pPr>
        <w:pStyle w:val="23"/>
        <w:spacing w:after="20"/>
      </w:pPr>
      <w:r>
        <w:t>Notify client or HR after completion.</w:t>
      </w:r>
    </w:p>
    <w:p w14:paraId="0AB21ADE">
      <w:pPr>
        <w:pStyle w:val="23"/>
        <w:spacing w:after="20"/>
      </w:pPr>
      <w:r>
        <w:t>Update internal records.</w:t>
      </w:r>
    </w:p>
    <w:p w14:paraId="01E6BE40">
      <w:pPr>
        <w:spacing w:before="80"/>
        <w:jc w:val="center"/>
      </w:pPr>
      <w:r>
        <w:rPr>
          <w:sz w:val="18"/>
        </w:rPr>
        <w:t>____________________        ____________________</w:t>
      </w:r>
    </w:p>
    <w:p w14:paraId="65CCA124">
      <w:pPr>
        <w:jc w:val="center"/>
      </w:pPr>
      <w:r>
        <w:rPr>
          <w:b/>
          <w:sz w:val="16"/>
        </w:rPr>
        <w:t>AO (Client Service Officer)        SO (Client Service Manager)</w:t>
      </w:r>
    </w:p>
    <w:p w14:paraId="65382026">
      <w:pPr>
        <w:pStyle w:val="2"/>
      </w:pPr>
      <w:r>
        <w:t>6. QUALITY ASSURANCE PROCESS</w:t>
      </w:r>
    </w:p>
    <w:p w14:paraId="50FFE177">
      <w:r>
        <w:t>The Quality Assurance process is carried out by the Client Services Unit to ensure that enrollees receive proper care before, during, and after service delivery. It helps prevent service failure, monitor live service issues, verify provider compliance, and improve enrollee satisfaction.</w:t>
      </w:r>
    </w:p>
    <w:p w14:paraId="3FD6E5CC">
      <w:r>
        <w:t>The Quality Assurance process is divided into Pre-Service Assurance, Live Service Monitoring, and Post-Service Verification.</w:t>
      </w:r>
    </w:p>
    <w:p w14:paraId="65504B81">
      <w:pPr>
        <w:pStyle w:val="3"/>
      </w:pPr>
      <w:r>
        <w:rPr>
          <w:b/>
          <w:color w:val="1F4E79"/>
        </w:rPr>
        <w:t>PRE-SERVICE ASSURANCE</w:t>
      </w:r>
      <w:r>
        <w:rPr>
          <w:b/>
          <w:color w:val="C00000"/>
          <w:highlight w:val="yellow"/>
        </w:rPr>
        <w:t xml:space="preserve">  Timeline: Before service access or hospital visit</w:t>
      </w:r>
    </w:p>
    <w:p w14:paraId="54FE1496">
      <w:r>
        <w:t>Pre-Service Assurance</w:t>
      </w:r>
      <w:r>
        <w:rPr>
          <w:rFonts w:hint="default"/>
          <w:lang w:val="en-US"/>
        </w:rPr>
        <w:t xml:space="preserve"> (Appointment)</w:t>
      </w:r>
      <w:r>
        <w:t xml:space="preserve"> ensures that possible service issues are identified and prevented before the enrollee visits the hospital.</w:t>
      </w:r>
    </w:p>
    <w:p w14:paraId="714504F6">
      <w:pPr>
        <w:pStyle w:val="23"/>
        <w:spacing w:after="20"/>
      </w:pPr>
      <w:r>
        <w:t>Enrollee is active on the scheme.</w:t>
      </w:r>
    </w:p>
    <w:p w14:paraId="7EBFB331">
      <w:pPr>
        <w:pStyle w:val="23"/>
        <w:spacing w:after="20"/>
      </w:pPr>
      <w:r>
        <w:t>Enrollee provider details are correct.</w:t>
      </w:r>
    </w:p>
    <w:p w14:paraId="71CBC872">
      <w:pPr>
        <w:pStyle w:val="23"/>
        <w:spacing w:after="20"/>
      </w:pPr>
      <w:r>
        <w:t>Required approval or authorization is in place where applicable.</w:t>
      </w:r>
    </w:p>
    <w:p w14:paraId="73F558C6">
      <w:pPr>
        <w:pStyle w:val="23"/>
        <w:spacing w:after="20"/>
      </w:pPr>
      <w:r>
        <w:t>Enrollee understands how to access care.</w:t>
      </w:r>
    </w:p>
    <w:p w14:paraId="33A798AB">
      <w:pPr>
        <w:pStyle w:val="23"/>
        <w:spacing w:after="20"/>
      </w:pPr>
      <w:r>
        <w:t>Provider is able to attend to the enrollee.</w:t>
      </w:r>
    </w:p>
    <w:p w14:paraId="35477321">
      <w:pPr>
        <w:pStyle w:val="23"/>
        <w:spacing w:after="20"/>
      </w:pPr>
      <w:r>
        <w:t>Any expected service issue is identified and resolved early.</w:t>
      </w:r>
    </w:p>
    <w:p w14:paraId="244D8F56">
      <w:pPr>
        <w:spacing w:before="80"/>
        <w:jc w:val="center"/>
      </w:pPr>
      <w:r>
        <w:rPr>
          <w:sz w:val="18"/>
        </w:rPr>
        <w:t>____________________        ____________________</w:t>
      </w:r>
    </w:p>
    <w:p w14:paraId="010B081E">
      <w:pPr>
        <w:jc w:val="center"/>
      </w:pPr>
      <w:r>
        <w:rPr>
          <w:b/>
          <w:sz w:val="16"/>
        </w:rPr>
        <w:t>AO (Client Service Officer)        SO (Client Service Manager)</w:t>
      </w:r>
    </w:p>
    <w:p w14:paraId="351A3A54">
      <w:pPr>
        <w:pStyle w:val="3"/>
      </w:pPr>
      <w:r>
        <w:rPr>
          <w:b/>
          <w:color w:val="1F4E79"/>
        </w:rPr>
        <w:t>LIVE SERVICE MONITORING</w:t>
      </w:r>
      <w:r>
        <w:rPr>
          <w:b/>
          <w:color w:val="C00000"/>
          <w:highlight w:val="yellow"/>
        </w:rPr>
        <w:t xml:space="preserve">  Timeline: During service delivery / while enrollee is at the hospital</w:t>
      </w:r>
    </w:p>
    <w:p w14:paraId="5FEDFD19">
      <w:r>
        <w:t>Live Service Monitoring is carried out while the enrollee is still receiving care at the provider facility, to identify and resolve access issues, service denial, illegal charges, drug issues, or complaints before discharge.</w:t>
      </w:r>
    </w:p>
    <w:p w14:paraId="3750CE41">
      <w:pPr>
        <w:pStyle w:val="23"/>
        <w:spacing w:after="20"/>
      </w:pPr>
      <w:r>
        <w:t>Enrollee calls or complaints</w:t>
      </w:r>
    </w:p>
    <w:p w14:paraId="79C89BB6">
      <w:pPr>
        <w:pStyle w:val="23"/>
        <w:spacing w:after="20"/>
      </w:pPr>
      <w:r>
        <w:t>Provider access feedback</w:t>
      </w:r>
    </w:p>
    <w:p w14:paraId="2F1C66F5">
      <w:pPr>
        <w:pStyle w:val="23"/>
        <w:spacing w:after="20"/>
      </w:pPr>
      <w:r>
        <w:t>Authorization requests</w:t>
      </w:r>
    </w:p>
    <w:p w14:paraId="043135AC">
      <w:pPr>
        <w:pStyle w:val="23"/>
        <w:spacing w:after="20"/>
      </w:pPr>
      <w:r>
        <w:t>Pharmacy or drug fulfillment reports</w:t>
      </w:r>
    </w:p>
    <w:p w14:paraId="45121DF1">
      <w:pPr>
        <w:pStyle w:val="23"/>
        <w:spacing w:after="20"/>
      </w:pPr>
      <w:r>
        <w:t>Internal service updates</w:t>
      </w:r>
    </w:p>
    <w:p w14:paraId="62E39640">
      <w:pPr>
        <w:pStyle w:val="23"/>
        <w:spacing w:after="20"/>
      </w:pPr>
      <w:r>
        <w:t>Provider feedback</w:t>
      </w:r>
    </w:p>
    <w:p w14:paraId="1EEDDAB6">
      <w:r>
        <w:t>Client Services shall confirm that the enrollee was granted access, HMO ID or authorization was accepted, approved services are being provided, illegal out-of-pocket fees are not charged, prescribed drugs are properly managed, and service issues are escalated immediately.</w:t>
      </w:r>
    </w:p>
    <w:p w14:paraId="0F11C173">
      <w:pPr>
        <w:spacing w:before="80"/>
        <w:jc w:val="center"/>
      </w:pPr>
      <w:r>
        <w:rPr>
          <w:sz w:val="18"/>
        </w:rPr>
        <w:t>____________________        ____________________</w:t>
      </w:r>
    </w:p>
    <w:p w14:paraId="790C6A04">
      <w:pPr>
        <w:jc w:val="center"/>
      </w:pPr>
      <w:r>
        <w:rPr>
          <w:b/>
          <w:sz w:val="16"/>
        </w:rPr>
        <w:t>AO (Client Service Officer)        SO (Client Service Manager)</w:t>
      </w:r>
    </w:p>
    <w:p w14:paraId="1AFD5ED6">
      <w:pPr>
        <w:pStyle w:val="3"/>
      </w:pPr>
      <w:r>
        <w:rPr>
          <w:b/>
          <w:color w:val="1F4E79"/>
        </w:rPr>
        <w:t>POST-SERVICE VERIFICATION</w:t>
      </w:r>
      <w:r>
        <w:rPr>
          <w:b/>
          <w:color w:val="C00000"/>
          <w:highlight w:val="yellow"/>
        </w:rPr>
        <w:t xml:space="preserve">  Timeline: Within </w:t>
      </w:r>
      <w:r>
        <w:rPr>
          <w:rFonts w:hint="default"/>
          <w:b/>
          <w:color w:val="C00000"/>
          <w:highlight w:val="yellow"/>
          <w:lang w:val="en-US"/>
        </w:rPr>
        <w:t>3</w:t>
      </w:r>
      <w:r>
        <w:rPr>
          <w:b/>
          <w:color w:val="C00000"/>
          <w:highlight w:val="yellow"/>
        </w:rPr>
        <w:t xml:space="preserve"> days after hospital visit or discharge</w:t>
      </w:r>
    </w:p>
    <w:p w14:paraId="1DF38E62">
      <w:r>
        <w:t>Post-Service Verification is carried out after the enrollee has received care from the hospital or clinic. Client Services shall contact selected enrollees to confirm the quality of service received and identify unresolved complaints.</w:t>
      </w:r>
    </w:p>
    <w:p w14:paraId="78F9DC20">
      <w:pPr>
        <w:pStyle w:val="23"/>
        <w:spacing w:after="20"/>
      </w:pPr>
      <w:r>
        <w:t>Approved service was provided.</w:t>
      </w:r>
    </w:p>
    <w:p w14:paraId="5B18BB4B">
      <w:pPr>
        <w:pStyle w:val="23"/>
        <w:spacing w:after="20"/>
      </w:pPr>
      <w:r>
        <w:t>Provider attended to the enrollee professionally.</w:t>
      </w:r>
    </w:p>
    <w:p w14:paraId="725457C3">
      <w:pPr>
        <w:pStyle w:val="23"/>
        <w:spacing w:after="20"/>
      </w:pPr>
      <w:r>
        <w:t>Enrollee was not asked to pay for any covered service.</w:t>
      </w:r>
    </w:p>
    <w:p w14:paraId="205309D7">
      <w:pPr>
        <w:pStyle w:val="23"/>
        <w:spacing w:after="20"/>
      </w:pPr>
      <w:r>
        <w:t>Prescribed drugs were dispensed appropriately.</w:t>
      </w:r>
    </w:p>
    <w:p w14:paraId="3597C4E1">
      <w:pPr>
        <w:pStyle w:val="23"/>
        <w:spacing w:after="20"/>
      </w:pPr>
      <w:r>
        <w:t>Enrollee did not experience unnecessary delay.</w:t>
      </w:r>
    </w:p>
    <w:p w14:paraId="2673A751">
      <w:pPr>
        <w:pStyle w:val="23"/>
        <w:spacing w:after="20"/>
      </w:pPr>
      <w:r>
        <w:t>Enrollee was satisfied with the service received.</w:t>
      </w:r>
    </w:p>
    <w:p w14:paraId="3CD96C36">
      <w:pPr>
        <w:pStyle w:val="23"/>
        <w:spacing w:after="20"/>
      </w:pPr>
      <w:r>
        <w:t>Any complaint requiring follow-up is documented.</w:t>
      </w:r>
    </w:p>
    <w:p w14:paraId="7631BDC5">
      <w:r>
        <w:t>For outpatient visits, Client Services may contact 5-10% of enrollees who visited a provider within the review period.</w:t>
      </w:r>
    </w:p>
    <w:p w14:paraId="3F7798E1">
      <w:pPr>
        <w:spacing w:before="80"/>
        <w:jc w:val="center"/>
      </w:pPr>
      <w:r>
        <w:rPr>
          <w:sz w:val="18"/>
        </w:rPr>
        <w:t>____________________        ____________________</w:t>
      </w:r>
    </w:p>
    <w:p w14:paraId="2AF3E685">
      <w:pPr>
        <w:jc w:val="center"/>
      </w:pPr>
      <w:r>
        <w:rPr>
          <w:b/>
          <w:sz w:val="16"/>
        </w:rPr>
        <w:t>AO (Client Service Officer)        SO (Client Service Manager)</w:t>
      </w:r>
    </w:p>
    <w:p w14:paraId="5B6E773A">
      <w:pPr>
        <w:pStyle w:val="3"/>
      </w:pPr>
      <w:r>
        <w:rPr>
          <w:b/>
          <w:color w:val="1F4E79"/>
        </w:rPr>
        <w:t>RED FLAG ISSUES</w:t>
      </w:r>
      <w:r>
        <w:rPr>
          <w:b/>
          <w:color w:val="C00000"/>
          <w:highlight w:val="yellow"/>
        </w:rPr>
        <w:t xml:space="preserve">  Timeline: Immediately upon discovery</w:t>
      </w:r>
    </w:p>
    <w:p w14:paraId="33B843C6">
      <w:pPr>
        <w:pStyle w:val="23"/>
        <w:spacing w:after="20"/>
      </w:pPr>
      <w:r>
        <w:t>Enrollee was denied access despite valid coverage or approval.</w:t>
      </w:r>
    </w:p>
    <w:p w14:paraId="18047DF7">
      <w:pPr>
        <w:pStyle w:val="23"/>
        <w:spacing w:after="20"/>
      </w:pPr>
      <w:r>
        <w:t>Enrollee was forced to pay cash for a covered service.</w:t>
      </w:r>
    </w:p>
    <w:p w14:paraId="063667B7">
      <w:pPr>
        <w:pStyle w:val="23"/>
        <w:spacing w:after="20"/>
      </w:pPr>
      <w:r>
        <w:t>Enrollee was asked to buy covered drugs</w:t>
      </w:r>
      <w:r>
        <w:rPr>
          <w:rFonts w:hint="default"/>
          <w:lang w:val="en-US"/>
        </w:rPr>
        <w:t xml:space="preserve"> </w:t>
      </w:r>
      <w:r>
        <w:t>outside.</w:t>
      </w:r>
    </w:p>
    <w:p w14:paraId="4DE59D3D">
      <w:pPr>
        <w:pStyle w:val="23"/>
        <w:spacing w:after="20"/>
      </w:pPr>
      <w:r>
        <w:t>Provider failed to deliver approved services.</w:t>
      </w:r>
    </w:p>
    <w:p w14:paraId="05961EC4">
      <w:pPr>
        <w:pStyle w:val="23"/>
        <w:spacing w:after="20"/>
      </w:pPr>
      <w:r>
        <w:t>Enrollee experienced excessive delay before receiving care.</w:t>
      </w:r>
    </w:p>
    <w:p w14:paraId="11F26FC6">
      <w:pPr>
        <w:pStyle w:val="23"/>
        <w:spacing w:after="20"/>
      </w:pPr>
      <w:r>
        <w:t>Enrollee reported poor treatment or medical negligence.</w:t>
      </w:r>
    </w:p>
    <w:p w14:paraId="3B5E5BC6">
      <w:pPr>
        <w:pStyle w:val="23"/>
        <w:spacing w:after="20"/>
      </w:pPr>
      <w:r>
        <w:t>Enrollee expressed dissatisfaction that may affect retention.</w:t>
      </w:r>
    </w:p>
    <w:p w14:paraId="37FC0A10">
      <w:r>
        <w:t>All red flag issues shall be documented and escalated to the appropriate unit for investigation and resolution.</w:t>
      </w:r>
    </w:p>
    <w:p w14:paraId="3C74D4D0">
      <w:pPr>
        <w:spacing w:before="80"/>
        <w:jc w:val="center"/>
      </w:pPr>
      <w:r>
        <w:rPr>
          <w:sz w:val="18"/>
        </w:rPr>
        <w:t>____________________        ____________________</w:t>
      </w:r>
    </w:p>
    <w:p w14:paraId="36EDED26">
      <w:pPr>
        <w:jc w:val="center"/>
      </w:pPr>
      <w:r>
        <w:rPr>
          <w:b/>
          <w:sz w:val="16"/>
        </w:rPr>
        <w:t>AO (Client Service Officer)        SO (Client Service Manager)</w:t>
      </w:r>
    </w:p>
    <w:p w14:paraId="04B0780C">
      <w:pPr>
        <w:pStyle w:val="3"/>
      </w:pPr>
      <w:r>
        <w:rPr>
          <w:b/>
          <w:color w:val="1F4E79"/>
        </w:rPr>
        <w:t>REPORTING AND KPI</w:t>
      </w:r>
      <w:r>
        <w:rPr>
          <w:b/>
          <w:color w:val="C00000"/>
          <w:highlight w:val="yellow"/>
        </w:rPr>
        <w:t xml:space="preserve">  Timeline: Monthly</w:t>
      </w:r>
    </w:p>
    <w:p w14:paraId="1AD92D1C">
      <w:r>
        <w:t>Client Services shall prepare a monthly Quality Assurance report to show provider performance, enrollee experience, and service issues identified.</w:t>
      </w:r>
    </w:p>
    <w:p w14:paraId="2EE922E0">
      <w:pPr>
        <w:pStyle w:val="23"/>
        <w:spacing w:after="20"/>
      </w:pPr>
      <w:r>
        <w:t>Service satisfaction level</w:t>
      </w:r>
    </w:p>
    <w:p w14:paraId="755A3BAE">
      <w:pPr>
        <w:pStyle w:val="23"/>
        <w:spacing w:after="20"/>
      </w:pPr>
      <w:r>
        <w:t>Provider compliance issues</w:t>
      </w:r>
    </w:p>
    <w:p w14:paraId="616D6965">
      <w:pPr>
        <w:pStyle w:val="23"/>
        <w:spacing w:after="20"/>
      </w:pPr>
      <w:r>
        <w:t>Out-of-pocket payment complaints</w:t>
      </w:r>
    </w:p>
    <w:p w14:paraId="1EBA9727">
      <w:pPr>
        <w:pStyle w:val="23"/>
        <w:spacing w:after="20"/>
      </w:pPr>
      <w:r>
        <w:t>Access delay complaints</w:t>
      </w:r>
    </w:p>
    <w:p w14:paraId="1285149E">
      <w:pPr>
        <w:pStyle w:val="23"/>
        <w:spacing w:after="20"/>
      </w:pPr>
      <w:r>
        <w:t>Drug fulfillment issues</w:t>
      </w:r>
    </w:p>
    <w:p w14:paraId="4D0BDCB5">
      <w:pPr>
        <w:pStyle w:val="23"/>
        <w:spacing w:after="20"/>
      </w:pPr>
      <w:r>
        <w:t>Service denial cases</w:t>
      </w:r>
    </w:p>
    <w:p w14:paraId="459D7E09">
      <w:pPr>
        <w:pStyle w:val="23"/>
        <w:spacing w:after="20"/>
      </w:pPr>
      <w:r>
        <w:t>Unresolved complaints</w:t>
      </w:r>
    </w:p>
    <w:p w14:paraId="66D5A116">
      <w:pPr>
        <w:pStyle w:val="23"/>
        <w:spacing w:after="20"/>
      </w:pPr>
      <w:r>
        <w:t>Retention-risk cases</w:t>
      </w:r>
    </w:p>
    <w:p w14:paraId="432F5AF5">
      <w:pPr>
        <w:pStyle w:val="23"/>
        <w:spacing w:after="20"/>
      </w:pPr>
      <w:r>
        <w:t>Issues escalated for action</w:t>
      </w:r>
    </w:p>
    <w:p w14:paraId="3E34FB04">
      <w:pPr>
        <w:spacing w:before="80"/>
        <w:jc w:val="center"/>
      </w:pPr>
      <w:r>
        <w:rPr>
          <w:sz w:val="18"/>
        </w:rPr>
        <w:t>____________________        ____________________</w:t>
      </w:r>
    </w:p>
    <w:p w14:paraId="112167E0">
      <w:pPr>
        <w:jc w:val="center"/>
      </w:pPr>
      <w:r>
        <w:rPr>
          <w:b/>
          <w:sz w:val="16"/>
        </w:rPr>
        <w:t>AO (Client Service Officer)        SO (Client Service Manager)</w:t>
      </w:r>
    </w:p>
    <w:p w14:paraId="63BE9A2B">
      <w:pPr>
        <w:pStyle w:val="3"/>
      </w:pPr>
      <w:r>
        <w:rPr>
          <w:b/>
          <w:color w:val="1F4E79"/>
        </w:rPr>
        <w:t>QA DOCUMENTATION</w:t>
      </w:r>
      <w:r>
        <w:rPr>
          <w:b/>
          <w:color w:val="C00000"/>
          <w:highlight w:val="yellow"/>
        </w:rPr>
        <w:t xml:space="preserve">  Timeline: Same day after QA activity</w:t>
      </w:r>
    </w:p>
    <w:p w14:paraId="3D057507">
      <w:r>
        <w:t>Client Services shall keep proper records of all QA activities.</w:t>
      </w:r>
    </w:p>
    <w:p w14:paraId="46EFDB8B">
      <w:pPr>
        <w:pStyle w:val="23"/>
        <w:spacing w:after="20"/>
      </w:pPr>
      <w:r>
        <w:t>Enrollee name</w:t>
      </w:r>
    </w:p>
    <w:p w14:paraId="342CABAF">
      <w:pPr>
        <w:pStyle w:val="23"/>
        <w:spacing w:after="20"/>
      </w:pPr>
      <w:r>
        <w:t>Enrollee ID</w:t>
      </w:r>
    </w:p>
    <w:p w14:paraId="740CE0A2">
      <w:pPr>
        <w:pStyle w:val="23"/>
        <w:spacing w:after="20"/>
      </w:pPr>
      <w:r>
        <w:t>Provider visited</w:t>
      </w:r>
    </w:p>
    <w:p w14:paraId="295971B3">
      <w:pPr>
        <w:pStyle w:val="23"/>
        <w:spacing w:after="20"/>
      </w:pPr>
      <w:r>
        <w:t>Date of visit</w:t>
      </w:r>
    </w:p>
    <w:p w14:paraId="2BA3499F">
      <w:pPr>
        <w:pStyle w:val="23"/>
        <w:spacing w:after="20"/>
      </w:pPr>
      <w:r>
        <w:t>Type of service received</w:t>
      </w:r>
    </w:p>
    <w:p w14:paraId="43075C6F">
      <w:pPr>
        <w:pStyle w:val="23"/>
        <w:spacing w:after="20"/>
      </w:pPr>
      <w:r>
        <w:t>QA stage: Pre-Service, Live Monitoring, or Post-Service</w:t>
      </w:r>
    </w:p>
    <w:p w14:paraId="3A97759C">
      <w:pPr>
        <w:pStyle w:val="23"/>
        <w:spacing w:after="20"/>
      </w:pPr>
      <w:r>
        <w:t>Feedback received</w:t>
      </w:r>
    </w:p>
    <w:p w14:paraId="396ECED0">
      <w:pPr>
        <w:pStyle w:val="23"/>
        <w:spacing w:after="20"/>
      </w:pPr>
      <w:r>
        <w:t>Complaint raised</w:t>
      </w:r>
    </w:p>
    <w:p w14:paraId="0F22CD3A">
      <w:pPr>
        <w:pStyle w:val="23"/>
        <w:spacing w:after="20"/>
      </w:pPr>
      <w:r>
        <w:t>Action taken</w:t>
      </w:r>
    </w:p>
    <w:p w14:paraId="6A03C6E7">
      <w:pPr>
        <w:pStyle w:val="23"/>
        <w:spacing w:after="20"/>
      </w:pPr>
      <w:r>
        <w:t>Escalation status</w:t>
      </w:r>
    </w:p>
    <w:p w14:paraId="561D2EA3">
      <w:pPr>
        <w:pStyle w:val="23"/>
        <w:spacing w:after="20"/>
      </w:pPr>
      <w:r>
        <w:t>Resolution status</w:t>
      </w:r>
    </w:p>
    <w:p w14:paraId="29456072">
      <w:pPr>
        <w:spacing w:before="80"/>
        <w:jc w:val="center"/>
      </w:pPr>
      <w:r>
        <w:rPr>
          <w:sz w:val="18"/>
        </w:rPr>
        <w:t>____________________        ____________________</w:t>
      </w:r>
    </w:p>
    <w:p w14:paraId="667B41F3">
      <w:pPr>
        <w:jc w:val="center"/>
      </w:pPr>
      <w:r>
        <w:rPr>
          <w:b/>
          <w:sz w:val="16"/>
        </w:rPr>
        <w:t>AO (Client Service Officer)        SO (Client Service Manager)</w:t>
      </w:r>
    </w:p>
    <w:p w14:paraId="49C19F92">
      <w:pPr>
        <w:pStyle w:val="2"/>
      </w:pPr>
      <w:r>
        <w:t>7. ESCALATION PROCEDURE</w:t>
      </w:r>
    </w:p>
    <w:p w14:paraId="6EE83F29">
      <w:pPr>
        <w:pStyle w:val="3"/>
      </w:pPr>
      <w:r>
        <w:rPr>
          <w:b/>
          <w:color w:val="1F4E79"/>
        </w:rPr>
        <w:t>ESCALATION</w:t>
      </w:r>
      <w:r>
        <w:rPr>
          <w:b/>
          <w:color w:val="C00000"/>
          <w:highlight w:val="yellow"/>
        </w:rPr>
        <w:t xml:space="preserve">  Timeline: Immediately after issue identification</w:t>
      </w:r>
    </w:p>
    <w:p w14:paraId="45E7A106">
      <w:r>
        <w:t>Where a request, complaint, or service issue cannot be resolved immediately by Client Services, it shall be escalated to the appropriate unit.</w:t>
      </w:r>
    </w:p>
    <w:p w14:paraId="20FB4837">
      <w:pPr>
        <w:pStyle w:val="23"/>
        <w:spacing w:after="20"/>
      </w:pPr>
      <w:r>
        <w:t>Receive and review the issue.</w:t>
      </w:r>
    </w:p>
    <w:p w14:paraId="2A88BB9C">
      <w:pPr>
        <w:pStyle w:val="23"/>
        <w:spacing w:after="20"/>
      </w:pPr>
      <w:r>
        <w:t>Attempt first-level resolution.</w:t>
      </w:r>
    </w:p>
    <w:p w14:paraId="7A276931">
      <w:pPr>
        <w:pStyle w:val="23"/>
        <w:spacing w:after="20"/>
      </w:pPr>
      <w:r>
        <w:t>Escalate to Client Service Manager where necessary.</w:t>
      </w:r>
    </w:p>
    <w:p w14:paraId="12DA8EC6">
      <w:pPr>
        <w:pStyle w:val="23"/>
        <w:spacing w:after="20"/>
      </w:pPr>
      <w:r>
        <w:t>Forward to the responsible unit where required.</w:t>
      </w:r>
    </w:p>
    <w:p w14:paraId="5850FB0D">
      <w:pPr>
        <w:pStyle w:val="23"/>
        <w:spacing w:after="20"/>
      </w:pPr>
      <w:r>
        <w:t>Follow up until resolution.</w:t>
      </w:r>
    </w:p>
    <w:p w14:paraId="5983DDB8">
      <w:pPr>
        <w:pStyle w:val="23"/>
        <w:spacing w:after="20"/>
      </w:pPr>
      <w:r>
        <w:t>Give feedback to the client or enrollee.</w:t>
      </w:r>
    </w:p>
    <w:p w14:paraId="331451C5">
      <w:pPr>
        <w:pStyle w:val="23"/>
        <w:spacing w:after="20"/>
      </w:pPr>
      <w:r>
        <w:t>Document final resolution.</w:t>
      </w:r>
    </w:p>
    <w:p w14:paraId="6919C09E">
      <w:pPr>
        <w:pStyle w:val="2"/>
      </w:pPr>
      <w:r>
        <w:t>8. DOCUMENTATION AND RECORDS</w:t>
      </w:r>
    </w:p>
    <w:p w14:paraId="38C47664">
      <w:r>
        <w:t>Client Services shall maintain proper records for all activities to support audit, tracking, complaint resolution, and performance reporting.</w:t>
      </w:r>
    </w:p>
    <w:p w14:paraId="3DA59D2B">
      <w:pPr>
        <w:pStyle w:val="23"/>
        <w:spacing w:after="20"/>
      </w:pPr>
      <w:r>
        <w:t>Enrollee registration lists</w:t>
      </w:r>
    </w:p>
    <w:p w14:paraId="02EF69A1">
      <w:pPr>
        <w:pStyle w:val="23"/>
        <w:spacing w:after="20"/>
      </w:pPr>
      <w:r>
        <w:t>Inclusion and deactivation lists</w:t>
      </w:r>
    </w:p>
    <w:p w14:paraId="714B99E9">
      <w:pPr>
        <w:pStyle w:val="23"/>
        <w:spacing w:after="20"/>
      </w:pPr>
      <w:r>
        <w:t>Finance sign-off emails</w:t>
      </w:r>
    </w:p>
    <w:p w14:paraId="350FC1E5">
      <w:pPr>
        <w:pStyle w:val="23"/>
        <w:spacing w:after="20"/>
      </w:pPr>
      <w:r>
        <w:t>Claims reimbursement documents</w:t>
      </w:r>
    </w:p>
    <w:p w14:paraId="76175145">
      <w:pPr>
        <w:pStyle w:val="23"/>
        <w:spacing w:after="20"/>
      </w:pPr>
      <w:r>
        <w:t>Refund payment confirmations</w:t>
      </w:r>
    </w:p>
    <w:p w14:paraId="3BC84A34">
      <w:pPr>
        <w:pStyle w:val="23"/>
        <w:spacing w:after="20"/>
      </w:pPr>
      <w:r>
        <w:t>Ticketing records</w:t>
      </w:r>
    </w:p>
    <w:p w14:paraId="28F1C86E">
      <w:pPr>
        <w:pStyle w:val="23"/>
        <w:spacing w:after="20"/>
      </w:pPr>
      <w:r>
        <w:t>Change of hospital requests</w:t>
      </w:r>
    </w:p>
    <w:p w14:paraId="7727DD61">
      <w:pPr>
        <w:pStyle w:val="23"/>
        <w:spacing w:after="20"/>
      </w:pPr>
      <w:r>
        <w:t>Correspondence register</w:t>
      </w:r>
    </w:p>
    <w:p w14:paraId="5EBCD333">
      <w:pPr>
        <w:pStyle w:val="23"/>
        <w:spacing w:after="20"/>
      </w:pPr>
      <w:r>
        <w:t>Outgoing mail register</w:t>
      </w:r>
    </w:p>
    <w:p w14:paraId="38B96801">
      <w:pPr>
        <w:pStyle w:val="23"/>
        <w:spacing w:after="20"/>
      </w:pPr>
      <w:r>
        <w:t>Orientation reports</w:t>
      </w:r>
    </w:p>
    <w:p w14:paraId="43CB8913">
      <w:pPr>
        <w:pStyle w:val="23"/>
        <w:spacing w:after="20"/>
      </w:pPr>
      <w:r>
        <w:t>Birthday message records</w:t>
      </w:r>
    </w:p>
    <w:p w14:paraId="6BE099C9">
      <w:pPr>
        <w:pStyle w:val="23"/>
        <w:spacing w:after="20"/>
      </w:pPr>
      <w:r>
        <w:t>Client feedback records</w:t>
      </w:r>
    </w:p>
    <w:p w14:paraId="24526AD2">
      <w:pPr>
        <w:pStyle w:val="23"/>
        <w:spacing w:after="20"/>
      </w:pPr>
      <w:r>
        <w:t>QA activity records</w:t>
      </w:r>
    </w:p>
    <w:p w14:paraId="06F2DC1E">
      <w:pPr>
        <w:pStyle w:val="23"/>
        <w:spacing w:after="20"/>
      </w:pPr>
      <w:r>
        <w:t>Provider violation reports</w:t>
      </w:r>
    </w:p>
    <w:p w14:paraId="700CB456">
      <w:pPr>
        <w:pStyle w:val="2"/>
      </w:pPr>
      <w:r>
        <w:t>9. SERVICE TIMELINE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4608"/>
      </w:tblGrid>
      <w:tr w14:paraId="6DAA7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shd w:val="clear" w:color="auto" w:fill="1F4E79"/>
            <w:vAlign w:val="center"/>
          </w:tcPr>
          <w:p w14:paraId="6F813BDB">
            <w:r>
              <w:rPr>
                <w:b/>
                <w:color w:val="FFFFFF"/>
                <w:sz w:val="16"/>
              </w:rPr>
              <w:t>Process</w:t>
            </w:r>
          </w:p>
        </w:tc>
        <w:tc>
          <w:tcPr>
            <w:tcW w:w="4608" w:type="dxa"/>
            <w:shd w:val="clear" w:color="auto" w:fill="1F4E79"/>
            <w:vAlign w:val="center"/>
          </w:tcPr>
          <w:p w14:paraId="6B2C74B1">
            <w:r>
              <w:rPr>
                <w:b/>
                <w:color w:val="FFFFFF"/>
                <w:sz w:val="16"/>
              </w:rPr>
              <w:t>Timeline</w:t>
            </w:r>
          </w:p>
        </w:tc>
      </w:tr>
      <w:tr w14:paraId="3A1C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center"/>
          </w:tcPr>
          <w:p w14:paraId="77E5B316">
            <w:r>
              <w:rPr>
                <w:b w:val="0"/>
                <w:sz w:val="16"/>
              </w:rPr>
              <w:t>Business Development enrollee list submission</w:t>
            </w:r>
          </w:p>
        </w:tc>
        <w:tc>
          <w:tcPr>
            <w:tcW w:w="4608" w:type="dxa"/>
            <w:vAlign w:val="center"/>
          </w:tcPr>
          <w:p w14:paraId="7E6A80D7">
            <w:r>
              <w:rPr>
                <w:b w:val="0"/>
                <w:sz w:val="16"/>
              </w:rPr>
              <w:t>Upon account completion</w:t>
            </w:r>
          </w:p>
        </w:tc>
      </w:tr>
      <w:tr w14:paraId="62E9A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center"/>
          </w:tcPr>
          <w:p w14:paraId="03467A5D">
            <w:r>
              <w:rPr>
                <w:b w:val="0"/>
                <w:sz w:val="16"/>
              </w:rPr>
              <w:t>Finance sign-off</w:t>
            </w:r>
          </w:p>
        </w:tc>
        <w:tc>
          <w:tcPr>
            <w:tcW w:w="4608" w:type="dxa"/>
            <w:vAlign w:val="center"/>
          </w:tcPr>
          <w:p w14:paraId="6505238E">
            <w:r>
              <w:rPr>
                <w:b w:val="0"/>
                <w:sz w:val="16"/>
              </w:rPr>
              <w:t>Before registration begins</w:t>
            </w:r>
          </w:p>
        </w:tc>
      </w:tr>
      <w:tr w14:paraId="5DA51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center"/>
          </w:tcPr>
          <w:p w14:paraId="0A179F00">
            <w:r>
              <w:rPr>
                <w:b w:val="0"/>
                <w:sz w:val="16"/>
              </w:rPr>
              <w:t>New enrollee registration</w:t>
            </w:r>
          </w:p>
        </w:tc>
        <w:tc>
          <w:tcPr>
            <w:tcW w:w="4608" w:type="dxa"/>
            <w:vAlign w:val="center"/>
          </w:tcPr>
          <w:p w14:paraId="460ED557">
            <w:r>
              <w:rPr>
                <w:b w:val="0"/>
                <w:sz w:val="16"/>
              </w:rPr>
              <w:t>1-3 working days</w:t>
            </w:r>
          </w:p>
        </w:tc>
      </w:tr>
      <w:tr w14:paraId="1FE1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center"/>
          </w:tcPr>
          <w:p w14:paraId="43283472">
            <w:r>
              <w:rPr>
                <w:b w:val="0"/>
                <w:sz w:val="16"/>
              </w:rPr>
              <w:t>Post-registration update</w:t>
            </w:r>
          </w:p>
        </w:tc>
        <w:tc>
          <w:tcPr>
            <w:tcW w:w="4608" w:type="dxa"/>
            <w:vAlign w:val="center"/>
          </w:tcPr>
          <w:p w14:paraId="3BC6D766">
            <w:r>
              <w:rPr>
                <w:b w:val="0"/>
                <w:sz w:val="16"/>
              </w:rPr>
              <w:t>Immediately after registration</w:t>
            </w:r>
          </w:p>
        </w:tc>
      </w:tr>
      <w:tr w14:paraId="23E58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center"/>
          </w:tcPr>
          <w:p w14:paraId="7C88526E">
            <w:r>
              <w:rPr>
                <w:b w:val="0"/>
                <w:sz w:val="16"/>
              </w:rPr>
              <w:t>Onboarding process</w:t>
            </w:r>
          </w:p>
        </w:tc>
        <w:tc>
          <w:tcPr>
            <w:tcW w:w="4608" w:type="dxa"/>
            <w:vAlign w:val="center"/>
          </w:tcPr>
          <w:p w14:paraId="3621A526">
            <w:r>
              <w:rPr>
                <w:b w:val="0"/>
                <w:sz w:val="16"/>
              </w:rPr>
              <w:t>Within 2 weeks after sign-up</w:t>
            </w:r>
          </w:p>
        </w:tc>
      </w:tr>
      <w:tr w14:paraId="0B42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center"/>
          </w:tcPr>
          <w:p w14:paraId="0E8E2E87">
            <w:r>
              <w:rPr>
                <w:b w:val="0"/>
                <w:sz w:val="16"/>
              </w:rPr>
              <w:t>Inclusion of enrollee</w:t>
            </w:r>
          </w:p>
        </w:tc>
        <w:tc>
          <w:tcPr>
            <w:tcW w:w="4608" w:type="dxa"/>
            <w:vAlign w:val="center"/>
          </w:tcPr>
          <w:p w14:paraId="2D2106E2">
            <w:r>
              <w:rPr>
                <w:b w:val="0"/>
                <w:sz w:val="16"/>
              </w:rPr>
              <w:t>Immediately</w:t>
            </w:r>
          </w:p>
        </w:tc>
      </w:tr>
      <w:tr w14:paraId="1A1BD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center"/>
          </w:tcPr>
          <w:p w14:paraId="20D22919">
            <w:r>
              <w:rPr>
                <w:b w:val="0"/>
                <w:sz w:val="16"/>
              </w:rPr>
              <w:t>Deactivation of enrollee</w:t>
            </w:r>
          </w:p>
        </w:tc>
        <w:tc>
          <w:tcPr>
            <w:tcW w:w="4608" w:type="dxa"/>
            <w:vAlign w:val="center"/>
          </w:tcPr>
          <w:p w14:paraId="19988416">
            <w:r>
              <w:rPr>
                <w:b w:val="0"/>
                <w:sz w:val="16"/>
              </w:rPr>
              <w:t>Immediately</w:t>
            </w:r>
          </w:p>
        </w:tc>
      </w:tr>
      <w:tr w14:paraId="48C4C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center"/>
          </w:tcPr>
          <w:p w14:paraId="1ECFCBC9">
            <w:r>
              <w:rPr>
                <w:b w:val="0"/>
                <w:sz w:val="16"/>
              </w:rPr>
              <w:t>Correspondence acknowledgement</w:t>
            </w:r>
          </w:p>
        </w:tc>
        <w:tc>
          <w:tcPr>
            <w:tcW w:w="4608" w:type="dxa"/>
            <w:vAlign w:val="center"/>
          </w:tcPr>
          <w:p w14:paraId="7CBF3965">
            <w:r>
              <w:rPr>
                <w:b w:val="0"/>
                <w:sz w:val="16"/>
              </w:rPr>
              <w:t>Immediately</w:t>
            </w:r>
          </w:p>
        </w:tc>
      </w:tr>
      <w:tr w14:paraId="0D8D0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center"/>
          </w:tcPr>
          <w:p w14:paraId="50AA38E6">
            <w:r>
              <w:rPr>
                <w:b w:val="0"/>
                <w:sz w:val="16"/>
              </w:rPr>
              <w:t>Birthday messages</w:t>
            </w:r>
          </w:p>
        </w:tc>
        <w:tc>
          <w:tcPr>
            <w:tcW w:w="4608" w:type="dxa"/>
            <w:vAlign w:val="center"/>
          </w:tcPr>
          <w:p w14:paraId="35077361">
            <w:r>
              <w:rPr>
                <w:b w:val="0"/>
                <w:sz w:val="16"/>
              </w:rPr>
              <w:t>Every morning</w:t>
            </w:r>
          </w:p>
        </w:tc>
      </w:tr>
      <w:tr w14:paraId="1C20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center"/>
          </w:tcPr>
          <w:p w14:paraId="77208DCB">
            <w:r>
              <w:rPr>
                <w:b w:val="0"/>
                <w:sz w:val="16"/>
              </w:rPr>
              <w:t>Claims documentation acknowledgement</w:t>
            </w:r>
          </w:p>
        </w:tc>
        <w:tc>
          <w:tcPr>
            <w:tcW w:w="4608" w:type="dxa"/>
            <w:vAlign w:val="center"/>
          </w:tcPr>
          <w:p w14:paraId="296C40A6">
            <w:r>
              <w:rPr>
                <w:b w:val="0"/>
                <w:sz w:val="16"/>
              </w:rPr>
              <w:t>Within 1 working day</w:t>
            </w:r>
          </w:p>
        </w:tc>
      </w:tr>
      <w:tr w14:paraId="4E0C0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center"/>
          </w:tcPr>
          <w:p w14:paraId="6B785B03">
            <w:r>
              <w:rPr>
                <w:b w:val="0"/>
                <w:sz w:val="16"/>
              </w:rPr>
              <w:t>Claims reimbursement</w:t>
            </w:r>
          </w:p>
        </w:tc>
        <w:tc>
          <w:tcPr>
            <w:tcW w:w="4608" w:type="dxa"/>
            <w:vAlign w:val="center"/>
          </w:tcPr>
          <w:p w14:paraId="39923CCB">
            <w:r>
              <w:rPr>
                <w:b w:val="0"/>
                <w:sz w:val="16"/>
              </w:rPr>
              <w:t>14 working days</w:t>
            </w:r>
          </w:p>
        </w:tc>
      </w:tr>
      <w:tr w14:paraId="5A67E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center"/>
          </w:tcPr>
          <w:p w14:paraId="1F01257C">
            <w:r>
              <w:rPr>
                <w:b w:val="0"/>
                <w:sz w:val="16"/>
              </w:rPr>
              <w:t>Ticket creation</w:t>
            </w:r>
          </w:p>
        </w:tc>
        <w:tc>
          <w:tcPr>
            <w:tcW w:w="4608" w:type="dxa"/>
            <w:vAlign w:val="center"/>
          </w:tcPr>
          <w:p w14:paraId="0653381B">
            <w:r>
              <w:rPr>
                <w:b w:val="0"/>
                <w:sz w:val="16"/>
              </w:rPr>
              <w:t>Immediately</w:t>
            </w:r>
          </w:p>
        </w:tc>
      </w:tr>
      <w:tr w14:paraId="497B9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center"/>
          </w:tcPr>
          <w:p w14:paraId="1750BF76">
            <w:r>
              <w:rPr>
                <w:b w:val="0"/>
                <w:sz w:val="16"/>
              </w:rPr>
              <w:t>Change of hospital</w:t>
            </w:r>
          </w:p>
        </w:tc>
        <w:tc>
          <w:tcPr>
            <w:tcW w:w="4608" w:type="dxa"/>
            <w:vAlign w:val="center"/>
          </w:tcPr>
          <w:p w14:paraId="3DB810EE">
            <w:r>
              <w:rPr>
                <w:b w:val="0"/>
                <w:sz w:val="16"/>
              </w:rPr>
              <w:t>Immediately after approval</w:t>
            </w:r>
          </w:p>
        </w:tc>
      </w:tr>
      <w:tr w14:paraId="4C25B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center"/>
          </w:tcPr>
          <w:p w14:paraId="0EED9380">
            <w:r>
              <w:rPr>
                <w:b w:val="0"/>
                <w:sz w:val="16"/>
              </w:rPr>
              <w:t>Pre-Service Assurance</w:t>
            </w:r>
          </w:p>
        </w:tc>
        <w:tc>
          <w:tcPr>
            <w:tcW w:w="4608" w:type="dxa"/>
            <w:vAlign w:val="center"/>
          </w:tcPr>
          <w:p w14:paraId="7106B073">
            <w:r>
              <w:rPr>
                <w:b w:val="0"/>
                <w:sz w:val="16"/>
              </w:rPr>
              <w:t>Before service access or hospital visit</w:t>
            </w:r>
          </w:p>
        </w:tc>
      </w:tr>
      <w:tr w14:paraId="5D7AE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center"/>
          </w:tcPr>
          <w:p w14:paraId="761A9309">
            <w:r>
              <w:rPr>
                <w:b w:val="0"/>
                <w:sz w:val="16"/>
              </w:rPr>
              <w:t>Live Service Monitoring</w:t>
            </w:r>
          </w:p>
        </w:tc>
        <w:tc>
          <w:tcPr>
            <w:tcW w:w="4608" w:type="dxa"/>
            <w:vAlign w:val="center"/>
          </w:tcPr>
          <w:p w14:paraId="3853C5D9">
            <w:r>
              <w:rPr>
                <w:b w:val="0"/>
                <w:sz w:val="16"/>
              </w:rPr>
              <w:t>During service delivery</w:t>
            </w:r>
          </w:p>
        </w:tc>
      </w:tr>
      <w:tr w14:paraId="3CBF2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center"/>
          </w:tcPr>
          <w:p w14:paraId="64CE1E22">
            <w:r>
              <w:rPr>
                <w:b w:val="0"/>
                <w:sz w:val="16"/>
              </w:rPr>
              <w:t>Post-Service Verification</w:t>
            </w:r>
          </w:p>
        </w:tc>
        <w:tc>
          <w:tcPr>
            <w:tcW w:w="4608" w:type="dxa"/>
            <w:vAlign w:val="center"/>
          </w:tcPr>
          <w:p w14:paraId="0972763D">
            <w:r>
              <w:rPr>
                <w:b w:val="0"/>
                <w:sz w:val="16"/>
              </w:rPr>
              <w:t xml:space="preserve">Within </w:t>
            </w:r>
            <w:r>
              <w:rPr>
                <w:rFonts w:hint="default"/>
                <w:b w:val="0"/>
                <w:sz w:val="16"/>
                <w:lang w:val="en-US"/>
              </w:rPr>
              <w:t xml:space="preserve">3 </w:t>
            </w:r>
            <w:r>
              <w:rPr>
                <w:b w:val="0"/>
                <w:sz w:val="16"/>
              </w:rPr>
              <w:t>days after visit or discharge</w:t>
            </w:r>
          </w:p>
        </w:tc>
      </w:tr>
      <w:tr w14:paraId="235CC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center"/>
          </w:tcPr>
          <w:p w14:paraId="404E50C9">
            <w:r>
              <w:rPr>
                <w:b w:val="0"/>
                <w:sz w:val="16"/>
              </w:rPr>
              <w:t>Red flag escalation</w:t>
            </w:r>
          </w:p>
        </w:tc>
        <w:tc>
          <w:tcPr>
            <w:tcW w:w="4608" w:type="dxa"/>
            <w:vAlign w:val="center"/>
          </w:tcPr>
          <w:p w14:paraId="17128D61">
            <w:r>
              <w:rPr>
                <w:b w:val="0"/>
                <w:sz w:val="16"/>
              </w:rPr>
              <w:t>Immediately upon discovery</w:t>
            </w:r>
          </w:p>
        </w:tc>
      </w:tr>
      <w:tr w14:paraId="7CA0A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center"/>
          </w:tcPr>
          <w:p w14:paraId="1C4E9D19">
            <w:r>
              <w:rPr>
                <w:b w:val="0"/>
                <w:sz w:val="16"/>
              </w:rPr>
              <w:t>QA documentation</w:t>
            </w:r>
          </w:p>
        </w:tc>
        <w:tc>
          <w:tcPr>
            <w:tcW w:w="4608" w:type="dxa"/>
            <w:vAlign w:val="center"/>
          </w:tcPr>
          <w:p w14:paraId="527CEF32">
            <w:r>
              <w:rPr>
                <w:b w:val="0"/>
                <w:sz w:val="16"/>
              </w:rPr>
              <w:t>Same day after QA activity</w:t>
            </w:r>
          </w:p>
        </w:tc>
      </w:tr>
      <w:tr w14:paraId="407CA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center"/>
          </w:tcPr>
          <w:p w14:paraId="59DF4C19">
            <w:r>
              <w:rPr>
                <w:b w:val="0"/>
                <w:sz w:val="16"/>
              </w:rPr>
              <w:t>QA report</w:t>
            </w:r>
          </w:p>
        </w:tc>
        <w:tc>
          <w:tcPr>
            <w:tcW w:w="4608" w:type="dxa"/>
            <w:vAlign w:val="center"/>
          </w:tcPr>
          <w:p w14:paraId="459502E3">
            <w:r>
              <w:rPr>
                <w:b w:val="0"/>
                <w:sz w:val="16"/>
              </w:rPr>
              <w:t>Monthly</w:t>
            </w:r>
          </w:p>
        </w:tc>
      </w:tr>
      <w:tr w14:paraId="1CB0C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center"/>
          </w:tcPr>
          <w:p w14:paraId="62045EDC">
            <w:r>
              <w:rPr>
                <w:b w:val="0"/>
                <w:sz w:val="16"/>
              </w:rPr>
              <w:t>Complaint follow-up</w:t>
            </w:r>
          </w:p>
        </w:tc>
        <w:tc>
          <w:tcPr>
            <w:tcW w:w="4608" w:type="dxa"/>
            <w:vAlign w:val="center"/>
          </w:tcPr>
          <w:p w14:paraId="253E34CD">
            <w:r>
              <w:rPr>
                <w:b w:val="0"/>
                <w:sz w:val="16"/>
              </w:rPr>
              <w:t>Until resolution</w:t>
            </w:r>
          </w:p>
        </w:tc>
      </w:tr>
    </w:tbl>
    <w:p w14:paraId="238E8031"/>
    <w:p w14:paraId="145369BB">
      <w:pPr>
        <w:pStyle w:val="2"/>
      </w:pPr>
      <w:r>
        <w:t>10. QUALITY ASSURANCE EXPECTATIONS</w:t>
      </w:r>
      <w:bookmarkStart w:id="0" w:name="_GoBack"/>
      <w:bookmarkEnd w:id="0"/>
    </w:p>
    <w:p w14:paraId="739BF3F0">
      <w:pPr>
        <w:pStyle w:val="23"/>
        <w:spacing w:after="20"/>
      </w:pPr>
      <w:r>
        <w:t>Requests are handled within the agreed timeline.</w:t>
      </w:r>
    </w:p>
    <w:p w14:paraId="6E66E80A">
      <w:pPr>
        <w:pStyle w:val="23"/>
        <w:spacing w:after="20"/>
      </w:pPr>
      <w:r>
        <w:t>Clients and enrollees receive clear feedback.</w:t>
      </w:r>
    </w:p>
    <w:p w14:paraId="72A07624">
      <w:pPr>
        <w:pStyle w:val="23"/>
        <w:spacing w:after="20"/>
      </w:pPr>
      <w:r>
        <w:t>Portal updates are accurate.</w:t>
      </w:r>
    </w:p>
    <w:p w14:paraId="13AB221B">
      <w:pPr>
        <w:pStyle w:val="23"/>
        <w:spacing w:after="20"/>
      </w:pPr>
      <w:r>
        <w:t>Records are complete and properly filed.</w:t>
      </w:r>
    </w:p>
    <w:p w14:paraId="6923425F">
      <w:pPr>
        <w:pStyle w:val="23"/>
        <w:spacing w:after="20"/>
      </w:pPr>
      <w:r>
        <w:t>Issues are escalated early where required.</w:t>
      </w:r>
    </w:p>
    <w:p w14:paraId="41665E1B">
      <w:pPr>
        <w:pStyle w:val="23"/>
        <w:spacing w:after="20"/>
      </w:pPr>
      <w:r>
        <w:t>Communication remains professional.</w:t>
      </w:r>
    </w:p>
    <w:p w14:paraId="5FD7B92B">
      <w:pPr>
        <w:pStyle w:val="23"/>
        <w:spacing w:after="20"/>
      </w:pPr>
      <w:r>
        <w:t>Follow-up is done until closure.</w:t>
      </w:r>
    </w:p>
    <w:p w14:paraId="2E7DF8A7">
      <w:pPr>
        <w:pStyle w:val="23"/>
        <w:spacing w:after="20"/>
      </w:pPr>
      <w:r>
        <w:t>QA findings are documented.</w:t>
      </w:r>
    </w:p>
    <w:p w14:paraId="79E659E6">
      <w:pPr>
        <w:pStyle w:val="23"/>
        <w:spacing w:after="20"/>
      </w:pPr>
      <w:r>
        <w:t>Provider issues are escalated to the appropriate unit.</w:t>
      </w:r>
    </w:p>
    <w:p w14:paraId="45C2954E">
      <w:pPr>
        <w:pStyle w:val="23"/>
        <w:spacing w:after="20"/>
      </w:pPr>
      <w:r>
        <w:t>Monthly reports are prepared for management review.</w:t>
      </w:r>
    </w:p>
    <w:p w14:paraId="5D9C2D25">
      <w:pPr>
        <w:pStyle w:val="2"/>
      </w:pPr>
      <w:r>
        <w:t>11. SIGN-OFF SECTION</w:t>
      </w:r>
    </w:p>
    <w:p w14:paraId="0F48C63F">
      <w:r>
        <w:t>This document has been reviewed and agreed upon by the relevant parties.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3168"/>
        <w:gridCol w:w="2160"/>
        <w:gridCol w:w="1728"/>
      </w:tblGrid>
      <w:tr w14:paraId="41554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1F4E79"/>
            <w:vAlign w:val="center"/>
          </w:tcPr>
          <w:p w14:paraId="264FE283">
            <w:r>
              <w:rPr>
                <w:b/>
                <w:color w:val="FFFFFF"/>
                <w:sz w:val="16"/>
              </w:rPr>
              <w:t>Name</w:t>
            </w:r>
          </w:p>
        </w:tc>
        <w:tc>
          <w:tcPr>
            <w:tcW w:w="3168" w:type="dxa"/>
            <w:shd w:val="clear" w:color="auto" w:fill="1F4E79"/>
            <w:vAlign w:val="center"/>
          </w:tcPr>
          <w:p w14:paraId="6E01C57A">
            <w:r>
              <w:rPr>
                <w:b/>
                <w:color w:val="FFFFFF"/>
                <w:sz w:val="16"/>
              </w:rPr>
              <w:t>Designation</w:t>
            </w:r>
          </w:p>
        </w:tc>
        <w:tc>
          <w:tcPr>
            <w:tcW w:w="2160" w:type="dxa"/>
            <w:shd w:val="clear" w:color="auto" w:fill="1F4E79"/>
            <w:vAlign w:val="center"/>
          </w:tcPr>
          <w:p w14:paraId="19654773">
            <w:r>
              <w:rPr>
                <w:b/>
                <w:color w:val="FFFFFF"/>
                <w:sz w:val="16"/>
              </w:rPr>
              <w:t>Signature</w:t>
            </w:r>
          </w:p>
        </w:tc>
        <w:tc>
          <w:tcPr>
            <w:tcW w:w="1728" w:type="dxa"/>
            <w:shd w:val="clear" w:color="auto" w:fill="1F4E79"/>
            <w:vAlign w:val="center"/>
          </w:tcPr>
          <w:p w14:paraId="6D7DF5C9">
            <w:r>
              <w:rPr>
                <w:b/>
                <w:color w:val="FFFFFF"/>
                <w:sz w:val="16"/>
              </w:rPr>
              <w:t>Date</w:t>
            </w:r>
          </w:p>
        </w:tc>
      </w:tr>
      <w:tr w14:paraId="7F736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5D4A3A3"/>
        </w:tc>
        <w:tc>
          <w:tcPr>
            <w:tcW w:w="3168" w:type="dxa"/>
            <w:vAlign w:val="center"/>
          </w:tcPr>
          <w:p w14:paraId="519E00D1">
            <w:r>
              <w:rPr>
                <w:b w:val="0"/>
                <w:sz w:val="16"/>
              </w:rPr>
              <w:t>Client Service Officer</w:t>
            </w:r>
          </w:p>
        </w:tc>
        <w:tc>
          <w:tcPr>
            <w:tcW w:w="2160" w:type="dxa"/>
            <w:vAlign w:val="center"/>
          </w:tcPr>
          <w:p w14:paraId="09C1C588"/>
        </w:tc>
        <w:tc>
          <w:tcPr>
            <w:tcW w:w="1728" w:type="dxa"/>
            <w:vAlign w:val="center"/>
          </w:tcPr>
          <w:p w14:paraId="7B82D279"/>
        </w:tc>
      </w:tr>
      <w:tr w14:paraId="68482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20A60B7"/>
        </w:tc>
        <w:tc>
          <w:tcPr>
            <w:tcW w:w="3168" w:type="dxa"/>
            <w:vAlign w:val="center"/>
          </w:tcPr>
          <w:p w14:paraId="5ECA6677">
            <w:r>
              <w:rPr>
                <w:b w:val="0"/>
                <w:sz w:val="16"/>
              </w:rPr>
              <w:t>Client Service Manager</w:t>
            </w:r>
          </w:p>
        </w:tc>
        <w:tc>
          <w:tcPr>
            <w:tcW w:w="2160" w:type="dxa"/>
            <w:vAlign w:val="center"/>
          </w:tcPr>
          <w:p w14:paraId="74B5724C"/>
        </w:tc>
        <w:tc>
          <w:tcPr>
            <w:tcW w:w="1728" w:type="dxa"/>
            <w:vAlign w:val="center"/>
          </w:tcPr>
          <w:p w14:paraId="21267433"/>
        </w:tc>
      </w:tr>
      <w:tr w14:paraId="24971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1259A4A"/>
        </w:tc>
        <w:tc>
          <w:tcPr>
            <w:tcW w:w="3168" w:type="dxa"/>
            <w:vAlign w:val="center"/>
          </w:tcPr>
          <w:p w14:paraId="34A8E08C">
            <w:r>
              <w:rPr>
                <w:b w:val="0"/>
                <w:sz w:val="16"/>
              </w:rPr>
              <w:t>Business Development Officer</w:t>
            </w:r>
          </w:p>
        </w:tc>
        <w:tc>
          <w:tcPr>
            <w:tcW w:w="2160" w:type="dxa"/>
            <w:vAlign w:val="center"/>
          </w:tcPr>
          <w:p w14:paraId="07DFFDDC"/>
        </w:tc>
        <w:tc>
          <w:tcPr>
            <w:tcW w:w="1728" w:type="dxa"/>
            <w:vAlign w:val="center"/>
          </w:tcPr>
          <w:p w14:paraId="3D508728"/>
        </w:tc>
      </w:tr>
      <w:tr w14:paraId="71517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D14F527"/>
        </w:tc>
        <w:tc>
          <w:tcPr>
            <w:tcW w:w="3168" w:type="dxa"/>
            <w:vAlign w:val="center"/>
          </w:tcPr>
          <w:p w14:paraId="535702F4">
            <w:r>
              <w:rPr>
                <w:b w:val="0"/>
                <w:sz w:val="16"/>
              </w:rPr>
              <w:t>Finance Representative</w:t>
            </w:r>
          </w:p>
        </w:tc>
        <w:tc>
          <w:tcPr>
            <w:tcW w:w="2160" w:type="dxa"/>
            <w:vAlign w:val="center"/>
          </w:tcPr>
          <w:p w14:paraId="507961C7"/>
        </w:tc>
        <w:tc>
          <w:tcPr>
            <w:tcW w:w="1728" w:type="dxa"/>
            <w:vAlign w:val="center"/>
          </w:tcPr>
          <w:p w14:paraId="54C1AF02"/>
        </w:tc>
      </w:tr>
      <w:tr w14:paraId="14543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4E5BD0A"/>
        </w:tc>
        <w:tc>
          <w:tcPr>
            <w:tcW w:w="3168" w:type="dxa"/>
            <w:vAlign w:val="center"/>
          </w:tcPr>
          <w:p w14:paraId="5D15F4F4">
            <w:r>
              <w:rPr>
                <w:b w:val="0"/>
                <w:sz w:val="16"/>
              </w:rPr>
              <w:t>Claims Officer</w:t>
            </w:r>
          </w:p>
        </w:tc>
        <w:tc>
          <w:tcPr>
            <w:tcW w:w="2160" w:type="dxa"/>
            <w:vAlign w:val="center"/>
          </w:tcPr>
          <w:p w14:paraId="5AA69570"/>
        </w:tc>
        <w:tc>
          <w:tcPr>
            <w:tcW w:w="1728" w:type="dxa"/>
            <w:vAlign w:val="center"/>
          </w:tcPr>
          <w:p w14:paraId="728E0AF2"/>
        </w:tc>
      </w:tr>
      <w:tr w14:paraId="26F9A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6758D80"/>
        </w:tc>
        <w:tc>
          <w:tcPr>
            <w:tcW w:w="3168" w:type="dxa"/>
            <w:vAlign w:val="center"/>
          </w:tcPr>
          <w:p w14:paraId="0F049FED">
            <w:r>
              <w:rPr>
                <w:b w:val="0"/>
                <w:sz w:val="16"/>
              </w:rPr>
              <w:t>Head of Operations</w:t>
            </w:r>
          </w:p>
        </w:tc>
        <w:tc>
          <w:tcPr>
            <w:tcW w:w="2160" w:type="dxa"/>
            <w:vAlign w:val="center"/>
          </w:tcPr>
          <w:p w14:paraId="0006AF84"/>
        </w:tc>
        <w:tc>
          <w:tcPr>
            <w:tcW w:w="1728" w:type="dxa"/>
            <w:vAlign w:val="center"/>
          </w:tcPr>
          <w:p w14:paraId="568D4C50"/>
        </w:tc>
      </w:tr>
    </w:tbl>
    <w:p w14:paraId="0B04DB7A"/>
    <w:sectPr>
      <w:headerReference r:id="rId5" w:type="default"/>
      <w:footerReference r:id="rId6" w:type="default"/>
      <w:pgSz w:w="12240" w:h="15840"/>
      <w:pgMar w:top="1008" w:right="1008" w:bottom="936" w:left="1008" w:header="720" w:footer="720" w:gutter="0"/>
      <w:pgBorders w:offsetFrom="page">
        <w:top w:val="single" w:color="4472C4" w:sz="8" w:space="18"/>
        <w:left w:val="single" w:color="4472C4" w:sz="8" w:space="18"/>
        <w:bottom w:val="single" w:color="4472C4" w:sz="8" w:space="18"/>
        <w:right w:val="single" w:color="4472C4" w:sz="8" w:space="18"/>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57F5A">
    <w:pPr>
      <w:pStyle w:val="18"/>
      <w:jc w:val="center"/>
    </w:pPr>
    <w:r>
      <w:rPr>
        <w:color w:val="5A5A5A"/>
        <w:sz w:val="16"/>
      </w:rPr>
      <w:t>Client Services Process / SLA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7" w:lineRule="auto"/>
      </w:pPr>
      <w:r>
        <w:separator/>
      </w:r>
    </w:p>
  </w:footnote>
  <w:footnote w:type="continuationSeparator" w:id="1">
    <w:p>
      <w:pPr>
        <w:spacing w:before="0" w:after="0" w:line="247"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0C1FA">
    <w:pPr>
      <w:pStyle w:val="19"/>
      <w:jc w:val="center"/>
    </w:pPr>
    <w:r>
      <w:rPr>
        <w:b/>
        <w:color w:val="1F4E79"/>
        <w:sz w:val="20"/>
      </w:rPr>
      <w:t>MEDICAL PARTNERS LTD</w:t>
    </w:r>
  </w:p>
  <w:p w14:paraId="7C01C67C">
    <w:pPr>
      <w:jc w:val="center"/>
    </w:pPr>
    <w:r>
      <w:rPr>
        <w:color w:val="505050"/>
        <w:sz w:val="14"/>
      </w:rPr>
      <w:t>15 Modupe Johnson Crescent, Off Adeniran Ogunsanya, Surulere, Lagos. | Tel: 07019197085, 07019197087, 07019197089 | info@medicalpartners.ng | www.medicalpartners.ng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9E7D22"/>
    <w:rsid w:val="3CAD33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47" w:lineRule="auto"/>
    </w:pPr>
    <w:rPr>
      <w:rFonts w:ascii="Arial" w:hAnsi="Arial" w:eastAsia="Arial" w:cstheme="minorBidi"/>
      <w:sz w:val="20"/>
      <w:szCs w:val="22"/>
      <w:lang w:val="en-US" w:eastAsia="en-US" w:bidi="ar-SA"/>
    </w:rPr>
  </w:style>
  <w:style w:type="paragraph" w:styleId="2">
    <w:name w:val="heading 1"/>
    <w:basedOn w:val="1"/>
    <w:next w:val="1"/>
    <w:link w:val="138"/>
    <w:qFormat/>
    <w:uiPriority w:val="9"/>
    <w:pPr>
      <w:keepNext/>
      <w:keepLines/>
      <w:spacing w:before="480" w:after="80" w:line="247" w:lineRule="auto"/>
      <w:outlineLvl w:val="0"/>
    </w:pPr>
    <w:rPr>
      <w:rFonts w:asciiTheme="majorHAnsi" w:hAnsiTheme="majorHAnsi" w:eastAsiaTheme="majorEastAsia" w:cstheme="majorBidi"/>
      <w:b/>
      <w:bCs/>
      <w:color w:val="1F4E79"/>
      <w:sz w:val="28"/>
      <w:szCs w:val="28"/>
    </w:rPr>
  </w:style>
  <w:style w:type="paragraph" w:styleId="3">
    <w:name w:val="heading 2"/>
    <w:basedOn w:val="1"/>
    <w:next w:val="1"/>
    <w:link w:val="139"/>
    <w:unhideWhenUsed/>
    <w:qFormat/>
    <w:uiPriority w:val="9"/>
    <w:pPr>
      <w:keepNext/>
      <w:keepLines/>
      <w:spacing w:before="200" w:after="80" w:line="247" w:lineRule="auto"/>
      <w:outlineLvl w:val="1"/>
    </w:pPr>
    <w:rPr>
      <w:rFonts w:asciiTheme="majorHAnsi" w:hAnsiTheme="majorHAnsi" w:eastAsiaTheme="majorEastAsia" w:cstheme="majorBidi"/>
      <w:b/>
      <w:bCs/>
      <w:color w:val="1F4E79"/>
      <w:sz w:val="24"/>
      <w:szCs w:val="26"/>
    </w:rPr>
  </w:style>
  <w:style w:type="paragraph" w:styleId="4">
    <w:name w:val="heading 3"/>
    <w:basedOn w:val="1"/>
    <w:next w:val="1"/>
    <w:link w:val="140"/>
    <w:unhideWhenUsed/>
    <w:qFormat/>
    <w:uiPriority w:val="9"/>
    <w:pPr>
      <w:keepNext/>
      <w:keepLines/>
      <w:spacing w:before="200" w:after="80" w:line="247" w:lineRule="auto"/>
      <w:outlineLvl w:val="2"/>
    </w:pPr>
    <w:rPr>
      <w:rFonts w:asciiTheme="majorHAnsi" w:hAnsiTheme="majorHAnsi" w:eastAsiaTheme="majorEastAsia" w:cstheme="majorBidi"/>
      <w:b/>
      <w:bCs/>
      <w:color w:val="1F4E79"/>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2024</Words>
  <Characters>13312</Characters>
  <Lines>0</Lines>
  <Paragraphs>0</Paragraphs>
  <TotalTime>53</TotalTime>
  <ScaleCrop>false</ScaleCrop>
  <LinksUpToDate>false</LinksUpToDate>
  <CharactersWithSpaces>15277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2026-04-26T17:34:33Z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eyJoZGlkIjoiNGNlNTRiMTEyZDA3ZmI2MDY5M2UyNjA3MTk0MzQ2YTAifQ==</vt:lpwstr>
  </property>
  <property fmtid="{D5CDD505-2E9C-101B-9397-08002B2CF9AE}" pid="3" name="KSOProductBuildVer">
    <vt:lpwstr>1033-12.1.0.25242</vt:lpwstr>
  </property>
  <property fmtid="{D5CDD505-2E9C-101B-9397-08002B2CF9AE}" pid="4" name="ICV">
    <vt:lpwstr>CDD996EC3E16468295D12F7358F7D314_12</vt:lpwstr>
  </property>
</Properties>
</file>