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F0B4" w14:textId="77777777" w:rsidR="00AC07D3" w:rsidRDefault="00AC07D3" w:rsidP="00E37100">
      <w:pPr>
        <w:spacing w:line="240" w:lineRule="auto"/>
        <w:jc w:val="center"/>
        <w:rPr>
          <w:b/>
          <w:bCs/>
        </w:rPr>
      </w:pPr>
    </w:p>
    <w:p w14:paraId="6F67A8E5" w14:textId="3E488227" w:rsidR="00567491" w:rsidRPr="00567491" w:rsidRDefault="00821625" w:rsidP="00E37100">
      <w:pPr>
        <w:spacing w:line="240" w:lineRule="auto"/>
        <w:jc w:val="center"/>
        <w:rPr>
          <w:b/>
          <w:bCs/>
        </w:rPr>
      </w:pPr>
      <w:r>
        <w:rPr>
          <w:b/>
          <w:bCs/>
        </w:rPr>
        <w:t xml:space="preserve">TEMPLATE </w:t>
      </w:r>
      <w:r w:rsidR="0068056D" w:rsidRPr="00B2007B">
        <w:rPr>
          <w:b/>
          <w:bCs/>
        </w:rPr>
        <w:t>PLAN FOR SAFE AND INCLUSIVE RESEARCH ENVIRONMENT</w:t>
      </w:r>
      <w:r>
        <w:rPr>
          <w:b/>
          <w:bCs/>
        </w:rPr>
        <w:t xml:space="preserve">S FOR </w:t>
      </w:r>
      <w:r w:rsidR="0068056D" w:rsidRPr="00B2007B">
        <w:rPr>
          <w:b/>
          <w:bCs/>
        </w:rPr>
        <w:br/>
      </w:r>
      <w:r w:rsidR="0068056D" w:rsidRPr="00B2007B">
        <w:rPr>
          <w:b/>
          <w:bCs/>
          <w:u w:val="single"/>
        </w:rPr>
        <w:t xml:space="preserve">OFF-CAMPUS </w:t>
      </w:r>
      <w:r w:rsidR="008C6E91">
        <w:rPr>
          <w:b/>
          <w:bCs/>
          <w:u w:val="single"/>
        </w:rPr>
        <w:t xml:space="preserve">OR OFF-SITE </w:t>
      </w:r>
      <w:r w:rsidR="0068056D" w:rsidRPr="00B2007B">
        <w:rPr>
          <w:b/>
          <w:bCs/>
          <w:u w:val="single"/>
        </w:rPr>
        <w:t>RESEARCH ACTIVITY</w:t>
      </w:r>
      <w:r>
        <w:rPr>
          <w:b/>
          <w:bCs/>
          <w:u w:val="single"/>
        </w:rPr>
        <w:t xml:space="preserve"> </w:t>
      </w:r>
    </w:p>
    <w:p w14:paraId="3C466158" w14:textId="04BB7BF4" w:rsidR="005F160B" w:rsidRDefault="005F160B" w:rsidP="003533FB">
      <w:pPr>
        <w:pStyle w:val="BodyText"/>
        <w:numPr>
          <w:ilvl w:val="0"/>
          <w:numId w:val="7"/>
        </w:numPr>
        <w:ind w:right="181"/>
        <w:rPr>
          <w:b/>
          <w:bCs/>
          <w:u w:val="single"/>
        </w:rPr>
      </w:pPr>
      <w:r w:rsidRPr="005F160B">
        <w:rPr>
          <w:b/>
          <w:bCs/>
          <w:u w:val="single"/>
        </w:rPr>
        <w:t>Introduction</w:t>
      </w:r>
    </w:p>
    <w:p w14:paraId="77FE6A6E" w14:textId="77777777" w:rsidR="005F160B" w:rsidRPr="005F160B" w:rsidRDefault="005F160B" w:rsidP="00E37100">
      <w:pPr>
        <w:pStyle w:val="BodyText"/>
        <w:ind w:left="109" w:right="181"/>
        <w:rPr>
          <w:b/>
          <w:bCs/>
          <w:u w:val="single"/>
        </w:rPr>
      </w:pPr>
    </w:p>
    <w:p w14:paraId="332A8B71" w14:textId="49758399" w:rsidR="00B2007B" w:rsidRDefault="00B2007B" w:rsidP="00E37100">
      <w:pPr>
        <w:pStyle w:val="BodyText"/>
        <w:ind w:left="109" w:right="181"/>
      </w:pPr>
      <w:r w:rsidRPr="00B2007B">
        <w:t>Columbia University is committed to providing a learning, living, and working environment free from prohibited discrimination and harassment and to fostering a nurturing and vibrant community founded upon the fundamental dignity and worth of all of its members. Each individual has the right to work and learn in a professional atmosphere that promotes equal employment opportunities and prohibits discrimination and harassment.</w:t>
      </w:r>
      <w:r w:rsidR="00821625">
        <w:t xml:space="preserve">  This commitment applies to all activity sponsored by the University, whether on or off campus.</w:t>
      </w:r>
    </w:p>
    <w:p w14:paraId="07E8E38F" w14:textId="77777777" w:rsidR="002C3EDF" w:rsidRDefault="002C3EDF" w:rsidP="00E37100">
      <w:pPr>
        <w:pStyle w:val="BodyText"/>
        <w:ind w:left="109" w:right="181"/>
      </w:pPr>
    </w:p>
    <w:p w14:paraId="55530B63" w14:textId="16A5541E" w:rsidR="00821625" w:rsidRDefault="00821625" w:rsidP="00E37100">
      <w:pPr>
        <w:pStyle w:val="BodyText"/>
        <w:ind w:left="109" w:right="181"/>
      </w:pPr>
      <w:r>
        <w:t xml:space="preserve">It is </w:t>
      </w:r>
      <w:r w:rsidR="00567491">
        <w:t>also</w:t>
      </w:r>
      <w:r>
        <w:t xml:space="preserve"> NSF policy to </w:t>
      </w:r>
      <w:r w:rsidR="00590C15">
        <w:t>“</w:t>
      </w:r>
      <w:r>
        <w:t>foster safe and harassment-free environments wherever science is conducted.</w:t>
      </w:r>
      <w:r w:rsidR="00590C15">
        <w:t>” (NSF 2023 PAPPG II-E.9)</w:t>
      </w:r>
      <w:r>
        <w:t xml:space="preserve">  NSF’s </w:t>
      </w:r>
      <w:hyperlink r:id="rId8" w:anchor="2E9" w:history="1">
        <w:r w:rsidRPr="00EE6C26">
          <w:rPr>
            <w:rStyle w:val="Hyperlink"/>
          </w:rPr>
          <w:t>policy</w:t>
        </w:r>
      </w:hyperlink>
      <w:r>
        <w:t xml:space="preserve"> recognizes that a community effort is essential to eliminate sexual and other forms of harassment in science and to build inclusive scientific climates where people can learn, grow, and thrive.  Accordingly, for each proposal that proposes to conduct research off-campus or off site</w:t>
      </w:r>
      <w:r w:rsidR="00567491">
        <w:t>,</w:t>
      </w:r>
      <w:r>
        <w:t xml:space="preserve"> NSF requires a certification that the proposing organization has a plan in place </w:t>
      </w:r>
      <w:r w:rsidRPr="00821625">
        <w:rPr>
          <w:i/>
          <w:iCs/>
        </w:rPr>
        <w:t>for that proposal</w:t>
      </w:r>
      <w:r>
        <w:t xml:space="preserve"> that describes how the following types of behavior will be addressed:</w:t>
      </w:r>
    </w:p>
    <w:p w14:paraId="31A1BF2B" w14:textId="77777777" w:rsidR="00E37100" w:rsidRDefault="00E37100" w:rsidP="00E37100">
      <w:pPr>
        <w:pStyle w:val="BodyText"/>
        <w:ind w:left="109" w:right="181"/>
      </w:pPr>
    </w:p>
    <w:p w14:paraId="6A5A2731" w14:textId="14E0A1A6" w:rsidR="00821625" w:rsidRDefault="00821625" w:rsidP="00E37100">
      <w:pPr>
        <w:pStyle w:val="BodyText"/>
        <w:numPr>
          <w:ilvl w:val="0"/>
          <w:numId w:val="6"/>
        </w:numPr>
        <w:ind w:right="181"/>
      </w:pPr>
      <w:r>
        <w:t>Abuse of any person, including, but not limited to, harassment, stalking, bullying, or hazing of any kind, whether the behavior is carried out verbally, physically, electronically, or in written form; or</w:t>
      </w:r>
    </w:p>
    <w:p w14:paraId="08A626BD" w14:textId="77777777" w:rsidR="00567491" w:rsidRDefault="00567491" w:rsidP="00E37100">
      <w:pPr>
        <w:pStyle w:val="BodyText"/>
        <w:ind w:left="829" w:right="181"/>
      </w:pPr>
    </w:p>
    <w:p w14:paraId="36CCB54D" w14:textId="6F033D78" w:rsidR="00821625" w:rsidRDefault="00821625" w:rsidP="00E37100">
      <w:pPr>
        <w:pStyle w:val="BodyText"/>
        <w:numPr>
          <w:ilvl w:val="0"/>
          <w:numId w:val="6"/>
        </w:numPr>
        <w:ind w:right="181"/>
      </w:pPr>
      <w:r>
        <w:t>Conduct that is unwelcome, offensive, indecent, obscene, or disorderly.</w:t>
      </w:r>
    </w:p>
    <w:p w14:paraId="66542BC7" w14:textId="77777777" w:rsidR="00821625" w:rsidRDefault="00821625" w:rsidP="00E37100">
      <w:pPr>
        <w:pStyle w:val="BodyText"/>
        <w:ind w:left="109" w:right="181"/>
      </w:pPr>
    </w:p>
    <w:p w14:paraId="6B72B54A" w14:textId="55846959" w:rsidR="00271C9E" w:rsidRPr="00624407" w:rsidRDefault="00567491" w:rsidP="00E37100">
      <w:pPr>
        <w:pStyle w:val="BodyText"/>
        <w:ind w:left="109" w:right="181"/>
        <w:rPr>
          <w:b/>
          <w:bCs/>
        </w:rPr>
      </w:pPr>
      <w:r>
        <w:t>NSF states that t</w:t>
      </w:r>
      <w:r w:rsidR="00821625">
        <w:t>his plan should also identify steps the proposing organization will take to nurture an inclusive off-campus or off-site working environment, e.g., trainings; processes to establish shared team definitions of roles, responsibilities, and culture, e.g., codes of conduct; and field support, such as mentor/mentee support mechanisms, regular check-ins, and/or developmental events</w:t>
      </w:r>
      <w:r w:rsidR="00ED2123">
        <w:t>.</w:t>
      </w:r>
      <w:r w:rsidR="00ED2123">
        <w:rPr>
          <w:b/>
          <w:bCs/>
        </w:rPr>
        <w:t xml:space="preserve"> </w:t>
      </w:r>
    </w:p>
    <w:p w14:paraId="65ED78F7" w14:textId="62467964" w:rsidR="00EE6C26" w:rsidRDefault="00EE6C26" w:rsidP="00E37100">
      <w:pPr>
        <w:pStyle w:val="BodyText"/>
        <w:ind w:left="109" w:right="181"/>
      </w:pPr>
    </w:p>
    <w:p w14:paraId="44ABCD1E" w14:textId="560E34C0" w:rsidR="00EE6C26" w:rsidRDefault="00EE6C26" w:rsidP="00EE6C26">
      <w:pPr>
        <w:pStyle w:val="BodyText"/>
        <w:ind w:left="109" w:right="181"/>
      </w:pPr>
      <w:r>
        <w:t xml:space="preserve">NSF requires this plan to be disseminated </w:t>
      </w:r>
      <w:r w:rsidR="00D87753">
        <w:t xml:space="preserve">to </w:t>
      </w:r>
      <w:r w:rsidRPr="00EE6C26">
        <w:t>individuals participating in the off-campus or off-site research prior to departure.  Proposers should not submit the plan to NSF for review</w:t>
      </w:r>
      <w:r w:rsidR="00C17EED">
        <w:t xml:space="preserve"> unless it is requested.</w:t>
      </w:r>
    </w:p>
    <w:p w14:paraId="7F44BDCF" w14:textId="0B32AF4E" w:rsidR="00E14929" w:rsidRDefault="00E14929" w:rsidP="00E37100">
      <w:pPr>
        <w:pStyle w:val="BodyText"/>
        <w:ind w:left="109" w:right="181"/>
      </w:pPr>
    </w:p>
    <w:p w14:paraId="327BF59D" w14:textId="4007BFC5" w:rsidR="00E14929" w:rsidRDefault="00E14929" w:rsidP="00E37100">
      <w:pPr>
        <w:pStyle w:val="BodyText"/>
        <w:ind w:left="109" w:right="181"/>
      </w:pPr>
      <w:r>
        <w:t>NSF defines “off-campus or off-site research” as “data/information/samples being collected off-campus or off-site, such as fieldwork on research vessels and aircraft.”</w:t>
      </w:r>
    </w:p>
    <w:p w14:paraId="39B79AEB" w14:textId="77777777" w:rsidR="00567491" w:rsidRPr="00821625" w:rsidRDefault="00567491" w:rsidP="00E37100">
      <w:pPr>
        <w:pStyle w:val="BodyText"/>
        <w:ind w:left="109" w:right="181"/>
      </w:pPr>
    </w:p>
    <w:p w14:paraId="587D261E" w14:textId="25BC1B74" w:rsidR="00567491" w:rsidRDefault="001B74EC" w:rsidP="00E37100">
      <w:pPr>
        <w:pStyle w:val="BodyText"/>
        <w:ind w:left="109" w:right="181"/>
      </w:pPr>
      <w:r w:rsidRPr="003533FB">
        <w:t xml:space="preserve">This Plan has three (four if applicable) </w:t>
      </w:r>
      <w:r w:rsidR="004F73BF">
        <w:t xml:space="preserve">additional </w:t>
      </w:r>
      <w:r w:rsidRPr="003533FB">
        <w:t xml:space="preserve">sections.  </w:t>
      </w:r>
      <w:r w:rsidR="0068056D" w:rsidRPr="00590C15">
        <w:rPr>
          <w:b/>
          <w:bCs/>
        </w:rPr>
        <w:t xml:space="preserve">Section </w:t>
      </w:r>
      <w:r w:rsidR="003533FB">
        <w:rPr>
          <w:b/>
          <w:bCs/>
        </w:rPr>
        <w:t>2</w:t>
      </w:r>
      <w:r w:rsidR="0068056D" w:rsidRPr="00B2007B">
        <w:t xml:space="preserve"> </w:t>
      </w:r>
      <w:r w:rsidR="00567491">
        <w:t xml:space="preserve">of this document </w:t>
      </w:r>
      <w:r w:rsidR="0068056D" w:rsidRPr="00B2007B">
        <w:t xml:space="preserve">outlines </w:t>
      </w:r>
      <w:r w:rsidR="00567491" w:rsidRPr="00B2007B">
        <w:t>the plan specific to t</w:t>
      </w:r>
      <w:r w:rsidR="00567491">
        <w:t>he off-campus research planned for the project described therein.</w:t>
      </w:r>
      <w:r w:rsidR="00462DF3">
        <w:rPr>
          <w:rStyle w:val="FootnoteReference"/>
        </w:rPr>
        <w:footnoteReference w:id="1"/>
      </w:r>
      <w:r w:rsidR="00567491">
        <w:t xml:space="preserve">  </w:t>
      </w:r>
      <w:r w:rsidR="00567491" w:rsidRPr="00590C15">
        <w:rPr>
          <w:b/>
          <w:bCs/>
        </w:rPr>
        <w:t xml:space="preserve">Section </w:t>
      </w:r>
      <w:r w:rsidR="003533FB">
        <w:rPr>
          <w:b/>
          <w:bCs/>
        </w:rPr>
        <w:t>3</w:t>
      </w:r>
      <w:r w:rsidR="00567491">
        <w:t xml:space="preserve"> outlines </w:t>
      </w:r>
      <w:r w:rsidR="0068056D" w:rsidRPr="00B2007B">
        <w:t>University-wide policies and resources that support safe and inclusive work environments</w:t>
      </w:r>
      <w:r w:rsidR="009537B0">
        <w:t>, in accordance with NSF requirements and the University’s own expectations</w:t>
      </w:r>
      <w:r w:rsidR="0068056D" w:rsidRPr="00B2007B">
        <w:t xml:space="preserve">.  </w:t>
      </w:r>
      <w:r w:rsidR="0068056D" w:rsidRPr="00590C15">
        <w:rPr>
          <w:b/>
          <w:bCs/>
        </w:rPr>
        <w:t xml:space="preserve">Section </w:t>
      </w:r>
      <w:r w:rsidR="003533FB">
        <w:rPr>
          <w:b/>
          <w:bCs/>
        </w:rPr>
        <w:t>4</w:t>
      </w:r>
      <w:r w:rsidR="0068056D" w:rsidRPr="00B2007B">
        <w:t xml:space="preserve"> outlines </w:t>
      </w:r>
      <w:r w:rsidR="00271C9E">
        <w:t xml:space="preserve">University-wide </w:t>
      </w:r>
      <w:r w:rsidR="006258BA" w:rsidRPr="00B2007B">
        <w:t>trainings and other resources to promote safe and inclusive work environments</w:t>
      </w:r>
      <w:r w:rsidR="00567491">
        <w:rPr>
          <w:b/>
          <w:bCs/>
        </w:rPr>
        <w:t xml:space="preserve">. </w:t>
      </w:r>
      <w:r w:rsidR="000D60D2" w:rsidRPr="00590C15">
        <w:rPr>
          <w:b/>
          <w:bCs/>
        </w:rPr>
        <w:t xml:space="preserve">Section </w:t>
      </w:r>
      <w:r w:rsidR="003533FB">
        <w:rPr>
          <w:b/>
          <w:bCs/>
        </w:rPr>
        <w:t>5</w:t>
      </w:r>
      <w:r w:rsidR="000D60D2" w:rsidRPr="00567491">
        <w:t xml:space="preserve"> references school- and unit-specific resources</w:t>
      </w:r>
      <w:r w:rsidR="00462DF3">
        <w:t>, if any are applicable</w:t>
      </w:r>
      <w:r w:rsidR="00567491" w:rsidRPr="00567491">
        <w:t>.</w:t>
      </w:r>
    </w:p>
    <w:p w14:paraId="30CA9B84" w14:textId="77777777" w:rsidR="003533FB" w:rsidRDefault="003533FB" w:rsidP="00E37100">
      <w:pPr>
        <w:pStyle w:val="BodyText"/>
        <w:ind w:left="109" w:right="181"/>
      </w:pPr>
    </w:p>
    <w:p w14:paraId="1899DF47" w14:textId="4B3D928D" w:rsidR="003533FB" w:rsidRPr="003533FB" w:rsidRDefault="00567491" w:rsidP="003533FB">
      <w:pPr>
        <w:pStyle w:val="ListParagraph"/>
        <w:numPr>
          <w:ilvl w:val="0"/>
          <w:numId w:val="7"/>
        </w:numPr>
        <w:spacing w:line="240" w:lineRule="auto"/>
      </w:pPr>
      <w:r w:rsidRPr="003533FB">
        <w:rPr>
          <w:b/>
          <w:bCs/>
          <w:u w:val="single"/>
        </w:rPr>
        <w:t>Project-Specific Plan</w:t>
      </w:r>
    </w:p>
    <w:p w14:paraId="298AA975" w14:textId="6D674DDF" w:rsidR="006D6555" w:rsidRPr="006D6555" w:rsidRDefault="003533FB" w:rsidP="00732145">
      <w:pPr>
        <w:spacing w:line="240" w:lineRule="auto"/>
      </w:pPr>
      <w:r>
        <w:t xml:space="preserve">Principal investigators must </w:t>
      </w:r>
      <w:r w:rsidR="006D6555">
        <w:t xml:space="preserve">complete </w:t>
      </w:r>
      <w:r>
        <w:t>P</w:t>
      </w:r>
      <w:r w:rsidR="006D6555">
        <w:t xml:space="preserve">art </w:t>
      </w:r>
      <w:r>
        <w:t>2</w:t>
      </w:r>
      <w:r w:rsidR="006D6555">
        <w:t xml:space="preserve"> below for </w:t>
      </w:r>
      <w:r>
        <w:t xml:space="preserve">the </w:t>
      </w:r>
      <w:r w:rsidR="00610247">
        <w:t xml:space="preserve">specific </w:t>
      </w:r>
      <w:r w:rsidR="006D6555">
        <w:t>project and then distribute Parts 1</w:t>
      </w:r>
      <w:r>
        <w:t xml:space="preserve">, 2, 3, </w:t>
      </w:r>
      <w:r w:rsidR="006D6555">
        <w:t>4</w:t>
      </w:r>
      <w:r w:rsidR="00610247">
        <w:t>,</w:t>
      </w:r>
      <w:r w:rsidR="006D6555">
        <w:t xml:space="preserve"> </w:t>
      </w:r>
      <w:r>
        <w:t xml:space="preserve">and 5 </w:t>
      </w:r>
      <w:r w:rsidR="006D6555">
        <w:t>if applicable</w:t>
      </w:r>
      <w:r w:rsidR="00610247">
        <w:t>,</w:t>
      </w:r>
      <w:r w:rsidR="006D6555">
        <w:t xml:space="preserve"> </w:t>
      </w:r>
      <w:r>
        <w:t>to all participants in the field or off-site activity.</w:t>
      </w:r>
    </w:p>
    <w:tbl>
      <w:tblPr>
        <w:tblStyle w:val="TableGrid"/>
        <w:tblW w:w="10710" w:type="dxa"/>
        <w:tblInd w:w="-635" w:type="dxa"/>
        <w:tblLook w:val="04A0" w:firstRow="1" w:lastRow="0" w:firstColumn="1" w:lastColumn="0" w:noHBand="0" w:noVBand="1"/>
      </w:tblPr>
      <w:tblGrid>
        <w:gridCol w:w="4950"/>
        <w:gridCol w:w="5760"/>
      </w:tblGrid>
      <w:tr w:rsidR="00567491" w:rsidRPr="00B2007B" w14:paraId="633284BC" w14:textId="77777777" w:rsidTr="00567491">
        <w:tc>
          <w:tcPr>
            <w:tcW w:w="4950" w:type="dxa"/>
            <w:tcBorders>
              <w:top w:val="single" w:sz="4" w:space="0" w:color="auto"/>
              <w:left w:val="single" w:sz="4" w:space="0" w:color="auto"/>
              <w:bottom w:val="single" w:sz="4" w:space="0" w:color="auto"/>
              <w:right w:val="single" w:sz="4" w:space="0" w:color="auto"/>
            </w:tcBorders>
          </w:tcPr>
          <w:p w14:paraId="3E13241B" w14:textId="77777777" w:rsidR="00567491" w:rsidRPr="007932AA" w:rsidRDefault="00567491" w:rsidP="00E37100">
            <w:pPr>
              <w:rPr>
                <w:rFonts w:ascii="Times New Roman" w:hAnsi="Times New Roman" w:cs="Times New Roman"/>
              </w:rPr>
            </w:pPr>
            <w:r w:rsidRPr="007932AA">
              <w:rPr>
                <w:rFonts w:ascii="Times New Roman" w:hAnsi="Times New Roman" w:cs="Times New Roman"/>
              </w:rPr>
              <w:t xml:space="preserve">NSF Grant Number: </w:t>
            </w:r>
          </w:p>
          <w:p w14:paraId="7F5D003D" w14:textId="77777777" w:rsidR="00567491" w:rsidRPr="007932AA" w:rsidRDefault="00567491" w:rsidP="00E37100">
            <w:pPr>
              <w:rPr>
                <w:rFonts w:ascii="Times New Roman" w:hAnsi="Times New Roman" w:cs="Times New Roman"/>
              </w:rPr>
            </w:pPr>
          </w:p>
        </w:tc>
        <w:tc>
          <w:tcPr>
            <w:tcW w:w="5760" w:type="dxa"/>
            <w:tcBorders>
              <w:top w:val="single" w:sz="4" w:space="0" w:color="auto"/>
              <w:left w:val="single" w:sz="4" w:space="0" w:color="auto"/>
              <w:bottom w:val="single" w:sz="4" w:space="0" w:color="auto"/>
              <w:right w:val="single" w:sz="4" w:space="0" w:color="auto"/>
            </w:tcBorders>
            <w:hideMark/>
          </w:tcPr>
          <w:p w14:paraId="2DDF1B99" w14:textId="4AD484A4" w:rsidR="00567491" w:rsidRPr="00B2007B" w:rsidRDefault="005F3DC9" w:rsidP="00E37100">
            <w:pPr>
              <w:jc w:val="right"/>
              <w:rPr>
                <w:color w:val="FF0000"/>
                <w:sz w:val="24"/>
                <w:szCs w:val="24"/>
              </w:rPr>
            </w:pPr>
            <w:r w:rsidRPr="005F3DC9">
              <w:rPr>
                <w:sz w:val="24"/>
                <w:szCs w:val="24"/>
              </w:rPr>
              <w:t>2053169</w:t>
            </w:r>
          </w:p>
        </w:tc>
      </w:tr>
      <w:tr w:rsidR="00567491" w:rsidRPr="00B2007B" w14:paraId="44CAD912" w14:textId="77777777" w:rsidTr="00567491">
        <w:tc>
          <w:tcPr>
            <w:tcW w:w="4950" w:type="dxa"/>
            <w:tcBorders>
              <w:top w:val="single" w:sz="4" w:space="0" w:color="auto"/>
              <w:left w:val="single" w:sz="4" w:space="0" w:color="auto"/>
              <w:bottom w:val="single" w:sz="4" w:space="0" w:color="auto"/>
              <w:right w:val="single" w:sz="4" w:space="0" w:color="auto"/>
            </w:tcBorders>
          </w:tcPr>
          <w:p w14:paraId="241B1D6E" w14:textId="553E6E96" w:rsidR="00567491" w:rsidRPr="007932AA" w:rsidRDefault="00567491" w:rsidP="00E37100">
            <w:pPr>
              <w:rPr>
                <w:rFonts w:ascii="Times New Roman" w:hAnsi="Times New Roman" w:cs="Times New Roman"/>
              </w:rPr>
            </w:pPr>
            <w:r w:rsidRPr="007932AA">
              <w:rPr>
                <w:rFonts w:ascii="Times New Roman" w:hAnsi="Times New Roman" w:cs="Times New Roman"/>
              </w:rPr>
              <w:t>Principal Investigator Name</w:t>
            </w:r>
            <w:r w:rsidR="00F419A8" w:rsidRPr="007932AA">
              <w:rPr>
                <w:rFonts w:ascii="Times New Roman" w:hAnsi="Times New Roman" w:cs="Times New Roman"/>
              </w:rPr>
              <w:t xml:space="preserve"> and Contact Info</w:t>
            </w:r>
          </w:p>
          <w:p w14:paraId="3F44C579" w14:textId="1D7B5374" w:rsidR="00567491" w:rsidRPr="007932AA" w:rsidRDefault="00567491" w:rsidP="00E37100">
            <w:pPr>
              <w:rPr>
                <w:rFonts w:ascii="Times New Roman" w:hAnsi="Times New Roman" w:cs="Times New Roman"/>
              </w:rPr>
            </w:pPr>
            <w:r w:rsidRPr="007932AA">
              <w:rPr>
                <w:rFonts w:ascii="Times New Roman" w:hAnsi="Times New Roman" w:cs="Times New Roman"/>
              </w:rPr>
              <w:t>(</w:t>
            </w:r>
            <w:proofErr w:type="gramStart"/>
            <w:r w:rsidR="00F419A8" w:rsidRPr="007932AA">
              <w:rPr>
                <w:rFonts w:ascii="Times New Roman" w:hAnsi="Times New Roman" w:cs="Times New Roman"/>
              </w:rPr>
              <w:t>include</w:t>
            </w:r>
            <w:proofErr w:type="gramEnd"/>
            <w:r w:rsidR="00F419A8" w:rsidRPr="007932AA">
              <w:rPr>
                <w:rFonts w:ascii="Times New Roman" w:hAnsi="Times New Roman" w:cs="Times New Roman"/>
              </w:rPr>
              <w:t xml:space="preserve"> c</w:t>
            </w:r>
            <w:r w:rsidRPr="007932AA">
              <w:rPr>
                <w:rFonts w:ascii="Times New Roman" w:hAnsi="Times New Roman" w:cs="Times New Roman"/>
              </w:rPr>
              <w:t xml:space="preserve">ell </w:t>
            </w:r>
            <w:r w:rsidR="00F419A8" w:rsidRPr="007932AA">
              <w:rPr>
                <w:rFonts w:ascii="Times New Roman" w:hAnsi="Times New Roman" w:cs="Times New Roman"/>
              </w:rPr>
              <w:t>and/</w:t>
            </w:r>
            <w:r w:rsidRPr="007932AA">
              <w:rPr>
                <w:rFonts w:ascii="Times New Roman" w:hAnsi="Times New Roman" w:cs="Times New Roman"/>
              </w:rPr>
              <w:t xml:space="preserve">or </w:t>
            </w:r>
            <w:r w:rsidR="00F419A8" w:rsidRPr="007932AA">
              <w:rPr>
                <w:rFonts w:ascii="Times New Roman" w:hAnsi="Times New Roman" w:cs="Times New Roman"/>
              </w:rPr>
              <w:t>e</w:t>
            </w:r>
            <w:r w:rsidRPr="007932AA">
              <w:rPr>
                <w:rFonts w:ascii="Times New Roman" w:hAnsi="Times New Roman" w:cs="Times New Roman"/>
              </w:rPr>
              <w:t>mail)</w:t>
            </w:r>
          </w:p>
          <w:p w14:paraId="4C589BDB" w14:textId="77777777" w:rsidR="00567491" w:rsidRPr="007932AA" w:rsidRDefault="00567491" w:rsidP="00E37100">
            <w:pPr>
              <w:rPr>
                <w:rFonts w:ascii="Times New Roman" w:hAnsi="Times New Roman" w:cs="Times New Roman"/>
              </w:rPr>
            </w:pPr>
          </w:p>
        </w:tc>
        <w:tc>
          <w:tcPr>
            <w:tcW w:w="5760" w:type="dxa"/>
            <w:tcBorders>
              <w:top w:val="single" w:sz="4" w:space="0" w:color="auto"/>
              <w:left w:val="single" w:sz="4" w:space="0" w:color="auto"/>
              <w:bottom w:val="single" w:sz="4" w:space="0" w:color="auto"/>
              <w:right w:val="single" w:sz="4" w:space="0" w:color="auto"/>
            </w:tcBorders>
          </w:tcPr>
          <w:p w14:paraId="7E6005C9" w14:textId="2DA033E7" w:rsidR="00567491" w:rsidRPr="00B2007B" w:rsidRDefault="005F3DC9" w:rsidP="00E37100">
            <w:pPr>
              <w:rPr>
                <w:sz w:val="24"/>
                <w:szCs w:val="24"/>
              </w:rPr>
            </w:pPr>
            <w:proofErr w:type="gramStart"/>
            <w:r>
              <w:rPr>
                <w:sz w:val="24"/>
                <w:szCs w:val="24"/>
              </w:rPr>
              <w:t>Jonathan  Kingslake</w:t>
            </w:r>
            <w:proofErr w:type="gramEnd"/>
            <w:r>
              <w:rPr>
                <w:sz w:val="24"/>
                <w:szCs w:val="24"/>
              </w:rPr>
              <w:t>, +1 646 918 9544, j.kingslake@columbia.edu</w:t>
            </w:r>
          </w:p>
        </w:tc>
      </w:tr>
      <w:tr w:rsidR="00567491" w:rsidRPr="00B2007B" w14:paraId="72BE079E" w14:textId="77777777" w:rsidTr="00567491">
        <w:tc>
          <w:tcPr>
            <w:tcW w:w="4950" w:type="dxa"/>
            <w:tcBorders>
              <w:top w:val="single" w:sz="4" w:space="0" w:color="auto"/>
              <w:left w:val="single" w:sz="4" w:space="0" w:color="auto"/>
              <w:bottom w:val="single" w:sz="4" w:space="0" w:color="auto"/>
              <w:right w:val="single" w:sz="4" w:space="0" w:color="auto"/>
            </w:tcBorders>
          </w:tcPr>
          <w:p w14:paraId="34F6547E" w14:textId="77777777" w:rsidR="00567491" w:rsidRPr="007932AA" w:rsidRDefault="00567491" w:rsidP="00E37100">
            <w:pPr>
              <w:rPr>
                <w:rFonts w:ascii="Times New Roman" w:hAnsi="Times New Roman" w:cs="Times New Roman"/>
              </w:rPr>
            </w:pPr>
            <w:r w:rsidRPr="007932AA">
              <w:rPr>
                <w:rFonts w:ascii="Times New Roman" w:hAnsi="Times New Roman" w:cs="Times New Roman"/>
              </w:rPr>
              <w:t xml:space="preserve">Off-Campus Location </w:t>
            </w:r>
          </w:p>
          <w:p w14:paraId="69142E27" w14:textId="77777777" w:rsidR="00567491" w:rsidRPr="007932AA" w:rsidRDefault="00567491" w:rsidP="00E37100">
            <w:pPr>
              <w:rPr>
                <w:rFonts w:ascii="Times New Roman" w:hAnsi="Times New Roman" w:cs="Times New Roman"/>
              </w:rPr>
            </w:pPr>
          </w:p>
        </w:tc>
        <w:tc>
          <w:tcPr>
            <w:tcW w:w="5760" w:type="dxa"/>
            <w:tcBorders>
              <w:top w:val="single" w:sz="4" w:space="0" w:color="auto"/>
              <w:left w:val="single" w:sz="4" w:space="0" w:color="auto"/>
              <w:bottom w:val="single" w:sz="4" w:space="0" w:color="auto"/>
              <w:right w:val="single" w:sz="4" w:space="0" w:color="auto"/>
            </w:tcBorders>
          </w:tcPr>
          <w:p w14:paraId="463B79D7" w14:textId="309D5204" w:rsidR="00567491" w:rsidRPr="00B2007B" w:rsidRDefault="005F3DC9" w:rsidP="00E37100">
            <w:pPr>
              <w:rPr>
                <w:sz w:val="24"/>
                <w:szCs w:val="24"/>
              </w:rPr>
            </w:pPr>
            <w:r>
              <w:rPr>
                <w:sz w:val="24"/>
                <w:szCs w:val="24"/>
              </w:rPr>
              <w:t>Antarctic Peninsula</w:t>
            </w:r>
          </w:p>
        </w:tc>
      </w:tr>
      <w:tr w:rsidR="00567491" w:rsidRPr="00B2007B" w14:paraId="73743459" w14:textId="77777777" w:rsidTr="00567491">
        <w:tc>
          <w:tcPr>
            <w:tcW w:w="4950" w:type="dxa"/>
            <w:tcBorders>
              <w:top w:val="single" w:sz="4" w:space="0" w:color="auto"/>
              <w:left w:val="single" w:sz="4" w:space="0" w:color="auto"/>
              <w:bottom w:val="single" w:sz="4" w:space="0" w:color="auto"/>
              <w:right w:val="single" w:sz="4" w:space="0" w:color="auto"/>
            </w:tcBorders>
          </w:tcPr>
          <w:p w14:paraId="7F37226B" w14:textId="2DBD089F" w:rsidR="00567491" w:rsidRPr="007932AA" w:rsidRDefault="00567491" w:rsidP="00E37100">
            <w:pPr>
              <w:rPr>
                <w:rFonts w:ascii="Times New Roman" w:hAnsi="Times New Roman" w:cs="Times New Roman"/>
              </w:rPr>
            </w:pPr>
            <w:r w:rsidRPr="007932AA">
              <w:rPr>
                <w:rFonts w:ascii="Times New Roman" w:hAnsi="Times New Roman" w:cs="Times New Roman"/>
              </w:rPr>
              <w:t>Description of off-campus research activity (fieldwork, research activities on vessels or aircraft, work in an off-campus location, etc</w:t>
            </w:r>
            <w:r w:rsidR="00341040" w:rsidRPr="007932AA">
              <w:rPr>
                <w:rFonts w:ascii="Times New Roman" w:hAnsi="Times New Roman" w:cs="Times New Roman"/>
              </w:rPr>
              <w:t>.</w:t>
            </w:r>
            <w:r w:rsidRPr="007932AA">
              <w:rPr>
                <w:rFonts w:ascii="Times New Roman" w:hAnsi="Times New Roman" w:cs="Times New Roman"/>
              </w:rPr>
              <w:t>)</w:t>
            </w:r>
          </w:p>
          <w:p w14:paraId="013063FA" w14:textId="77777777" w:rsidR="00567491" w:rsidRPr="007932AA" w:rsidRDefault="00567491" w:rsidP="00E37100">
            <w:pPr>
              <w:rPr>
                <w:rFonts w:ascii="Times New Roman" w:hAnsi="Times New Roman" w:cs="Times New Roman"/>
              </w:rPr>
            </w:pPr>
          </w:p>
        </w:tc>
        <w:tc>
          <w:tcPr>
            <w:tcW w:w="5760" w:type="dxa"/>
            <w:tcBorders>
              <w:top w:val="single" w:sz="4" w:space="0" w:color="auto"/>
              <w:left w:val="single" w:sz="4" w:space="0" w:color="auto"/>
              <w:bottom w:val="single" w:sz="4" w:space="0" w:color="auto"/>
              <w:right w:val="single" w:sz="4" w:space="0" w:color="auto"/>
            </w:tcBorders>
          </w:tcPr>
          <w:p w14:paraId="043E0708" w14:textId="77777777" w:rsidR="00604A69" w:rsidRDefault="005F3DC9" w:rsidP="00E37100">
            <w:pPr>
              <w:rPr>
                <w:sz w:val="24"/>
                <w:szCs w:val="24"/>
              </w:rPr>
            </w:pPr>
            <w:r>
              <w:rPr>
                <w:sz w:val="24"/>
                <w:szCs w:val="24"/>
              </w:rPr>
              <w:t xml:space="preserve">Two 4-6-week remote field seasons on an outlet glacier on the Antarctic Peninsula. </w:t>
            </w:r>
            <w:r w:rsidR="00604A69">
              <w:rPr>
                <w:sz w:val="24"/>
                <w:szCs w:val="24"/>
              </w:rPr>
              <w:t>The team will be three scientists and one field guide (</w:t>
            </w:r>
            <w:proofErr w:type="spellStart"/>
            <w:proofErr w:type="gramStart"/>
            <w:r w:rsidR="00604A69">
              <w:rPr>
                <w:sz w:val="24"/>
                <w:szCs w:val="24"/>
              </w:rPr>
              <w:t>a</w:t>
            </w:r>
            <w:proofErr w:type="spellEnd"/>
            <w:proofErr w:type="gramEnd"/>
            <w:r w:rsidR="00604A69">
              <w:rPr>
                <w:sz w:val="24"/>
                <w:szCs w:val="24"/>
              </w:rPr>
              <w:t xml:space="preserve"> </w:t>
            </w:r>
            <w:r w:rsidR="00604A69">
              <w:rPr>
                <w:sz w:val="24"/>
                <w:szCs w:val="24"/>
              </w:rPr>
              <w:t xml:space="preserve">experienced </w:t>
            </w:r>
            <w:r w:rsidR="00604A69">
              <w:rPr>
                <w:sz w:val="24"/>
                <w:szCs w:val="24"/>
              </w:rPr>
              <w:t>mountaineer and deep-field guide).</w:t>
            </w:r>
          </w:p>
          <w:p w14:paraId="38782019" w14:textId="5AA067F1" w:rsidR="00567491" w:rsidRPr="00B2007B" w:rsidRDefault="005F3DC9" w:rsidP="00E37100">
            <w:pPr>
              <w:rPr>
                <w:sz w:val="24"/>
                <w:szCs w:val="24"/>
              </w:rPr>
            </w:pPr>
            <w:r>
              <w:rPr>
                <w:sz w:val="24"/>
                <w:szCs w:val="24"/>
              </w:rPr>
              <w:t>Field work will be at a field camp and participants will transit through Rother Research Station, British Antarctic Survey (BAS).</w:t>
            </w:r>
          </w:p>
        </w:tc>
      </w:tr>
      <w:tr w:rsidR="00567491" w:rsidRPr="00B2007B" w14:paraId="19732CAB" w14:textId="77777777" w:rsidTr="00567491">
        <w:tc>
          <w:tcPr>
            <w:tcW w:w="4950" w:type="dxa"/>
            <w:tcBorders>
              <w:top w:val="single" w:sz="4" w:space="0" w:color="auto"/>
              <w:left w:val="single" w:sz="4" w:space="0" w:color="auto"/>
              <w:bottom w:val="single" w:sz="4" w:space="0" w:color="auto"/>
              <w:right w:val="single" w:sz="4" w:space="0" w:color="auto"/>
            </w:tcBorders>
          </w:tcPr>
          <w:p w14:paraId="4C093AC2" w14:textId="77777777" w:rsidR="00567491" w:rsidRPr="007932AA" w:rsidRDefault="00567491" w:rsidP="00E37100">
            <w:pPr>
              <w:rPr>
                <w:rFonts w:ascii="Times New Roman" w:hAnsi="Times New Roman" w:cs="Times New Roman"/>
              </w:rPr>
            </w:pPr>
            <w:r w:rsidRPr="007932AA">
              <w:rPr>
                <w:rFonts w:ascii="Times New Roman" w:hAnsi="Times New Roman" w:cs="Times New Roman"/>
              </w:rPr>
              <w:t>Estimated Departure Date</w:t>
            </w:r>
          </w:p>
          <w:p w14:paraId="19200B35" w14:textId="77777777" w:rsidR="00567491" w:rsidRPr="007932AA" w:rsidRDefault="00567491" w:rsidP="00E37100">
            <w:pPr>
              <w:rPr>
                <w:rFonts w:ascii="Times New Roman" w:hAnsi="Times New Roman" w:cs="Times New Roman"/>
              </w:rPr>
            </w:pPr>
          </w:p>
        </w:tc>
        <w:tc>
          <w:tcPr>
            <w:tcW w:w="5760" w:type="dxa"/>
            <w:tcBorders>
              <w:top w:val="single" w:sz="4" w:space="0" w:color="auto"/>
              <w:left w:val="single" w:sz="4" w:space="0" w:color="auto"/>
              <w:bottom w:val="single" w:sz="4" w:space="0" w:color="auto"/>
              <w:right w:val="single" w:sz="4" w:space="0" w:color="auto"/>
            </w:tcBorders>
          </w:tcPr>
          <w:p w14:paraId="7D5AA4DA" w14:textId="1A083CC2" w:rsidR="00567491" w:rsidRPr="00B2007B" w:rsidRDefault="005F3DC9" w:rsidP="00E37100">
            <w:pPr>
              <w:rPr>
                <w:sz w:val="24"/>
                <w:szCs w:val="24"/>
              </w:rPr>
            </w:pPr>
            <w:r>
              <w:rPr>
                <w:sz w:val="24"/>
                <w:szCs w:val="24"/>
              </w:rPr>
              <w:t>Nov 2024</w:t>
            </w:r>
          </w:p>
        </w:tc>
      </w:tr>
      <w:tr w:rsidR="00567491" w:rsidRPr="00B2007B" w14:paraId="7FE718EC" w14:textId="77777777" w:rsidTr="00567491">
        <w:tc>
          <w:tcPr>
            <w:tcW w:w="4950" w:type="dxa"/>
            <w:tcBorders>
              <w:top w:val="single" w:sz="4" w:space="0" w:color="auto"/>
              <w:left w:val="single" w:sz="4" w:space="0" w:color="auto"/>
              <w:bottom w:val="single" w:sz="4" w:space="0" w:color="auto"/>
              <w:right w:val="single" w:sz="4" w:space="0" w:color="auto"/>
            </w:tcBorders>
          </w:tcPr>
          <w:p w14:paraId="72855E21" w14:textId="77777777" w:rsidR="00567491" w:rsidRPr="007932AA" w:rsidRDefault="00567491" w:rsidP="00E37100">
            <w:pPr>
              <w:rPr>
                <w:rFonts w:ascii="Times New Roman" w:hAnsi="Times New Roman" w:cs="Times New Roman"/>
              </w:rPr>
            </w:pPr>
            <w:r w:rsidRPr="007932AA">
              <w:rPr>
                <w:rFonts w:ascii="Times New Roman" w:hAnsi="Times New Roman" w:cs="Times New Roman"/>
              </w:rPr>
              <w:t>Estimated Return Date</w:t>
            </w:r>
          </w:p>
          <w:p w14:paraId="0179192B" w14:textId="77777777" w:rsidR="00567491" w:rsidRPr="007932AA" w:rsidRDefault="00567491" w:rsidP="00E37100">
            <w:pPr>
              <w:rPr>
                <w:rFonts w:ascii="Times New Roman" w:hAnsi="Times New Roman" w:cs="Times New Roman"/>
              </w:rPr>
            </w:pPr>
          </w:p>
        </w:tc>
        <w:tc>
          <w:tcPr>
            <w:tcW w:w="5760" w:type="dxa"/>
            <w:tcBorders>
              <w:top w:val="single" w:sz="4" w:space="0" w:color="auto"/>
              <w:left w:val="single" w:sz="4" w:space="0" w:color="auto"/>
              <w:bottom w:val="single" w:sz="4" w:space="0" w:color="auto"/>
              <w:right w:val="single" w:sz="4" w:space="0" w:color="auto"/>
            </w:tcBorders>
          </w:tcPr>
          <w:p w14:paraId="1DC73FCB" w14:textId="2FBAF256" w:rsidR="00567491" w:rsidRPr="00B2007B" w:rsidRDefault="005F3DC9" w:rsidP="00E37100">
            <w:pPr>
              <w:rPr>
                <w:sz w:val="24"/>
                <w:szCs w:val="24"/>
              </w:rPr>
            </w:pPr>
            <w:r>
              <w:rPr>
                <w:sz w:val="24"/>
                <w:szCs w:val="24"/>
              </w:rPr>
              <w:t>Jan 2025</w:t>
            </w:r>
          </w:p>
        </w:tc>
      </w:tr>
      <w:tr w:rsidR="00567491" w:rsidRPr="00B2007B" w14:paraId="717CACFF" w14:textId="77777777" w:rsidTr="00567491">
        <w:tc>
          <w:tcPr>
            <w:tcW w:w="4950" w:type="dxa"/>
            <w:tcBorders>
              <w:top w:val="single" w:sz="4" w:space="0" w:color="auto"/>
              <w:left w:val="single" w:sz="4" w:space="0" w:color="auto"/>
              <w:bottom w:val="single" w:sz="4" w:space="0" w:color="auto"/>
              <w:right w:val="single" w:sz="4" w:space="0" w:color="auto"/>
            </w:tcBorders>
          </w:tcPr>
          <w:p w14:paraId="5FB41AB1" w14:textId="77777777" w:rsidR="00567491" w:rsidRPr="007932AA" w:rsidRDefault="00567491" w:rsidP="00E37100">
            <w:pPr>
              <w:rPr>
                <w:rFonts w:ascii="Times New Roman" w:hAnsi="Times New Roman" w:cs="Times New Roman"/>
                <w:i/>
                <w:iCs/>
              </w:rPr>
            </w:pPr>
            <w:r w:rsidRPr="007932AA">
              <w:rPr>
                <w:rFonts w:ascii="Times New Roman" w:hAnsi="Times New Roman" w:cs="Times New Roman"/>
              </w:rPr>
              <w:t xml:space="preserve">Will participants have regular internet or cell service available?  </w:t>
            </w:r>
            <w:r w:rsidRPr="007932AA">
              <w:rPr>
                <w:rFonts w:ascii="Times New Roman" w:hAnsi="Times New Roman" w:cs="Times New Roman"/>
                <w:i/>
                <w:iCs/>
              </w:rPr>
              <w:t xml:space="preserve">(If no, what alternate arrangements are in place for participants to report suspected misconduct?) </w:t>
            </w:r>
          </w:p>
          <w:p w14:paraId="1B70F1C3" w14:textId="77777777" w:rsidR="00567491" w:rsidRPr="007932AA" w:rsidRDefault="00567491" w:rsidP="00E37100">
            <w:pPr>
              <w:rPr>
                <w:rFonts w:ascii="Times New Roman" w:hAnsi="Times New Roman" w:cs="Times New Roman"/>
              </w:rPr>
            </w:pPr>
          </w:p>
        </w:tc>
        <w:tc>
          <w:tcPr>
            <w:tcW w:w="5760" w:type="dxa"/>
            <w:tcBorders>
              <w:top w:val="single" w:sz="4" w:space="0" w:color="auto"/>
              <w:left w:val="single" w:sz="4" w:space="0" w:color="auto"/>
              <w:bottom w:val="single" w:sz="4" w:space="0" w:color="auto"/>
              <w:right w:val="single" w:sz="4" w:space="0" w:color="auto"/>
            </w:tcBorders>
          </w:tcPr>
          <w:p w14:paraId="56F78A2C" w14:textId="17E0A019" w:rsidR="00567491" w:rsidRPr="00B2007B" w:rsidRDefault="005F3DC9" w:rsidP="00E37100">
            <w:pPr>
              <w:rPr>
                <w:sz w:val="24"/>
                <w:szCs w:val="24"/>
              </w:rPr>
            </w:pPr>
            <w:r>
              <w:rPr>
                <w:sz w:val="24"/>
                <w:szCs w:val="24"/>
              </w:rPr>
              <w:t xml:space="preserve">No regular cell service and not full internet service. They will have unrestricted access to a satellite phone and every team member will have individual </w:t>
            </w:r>
            <w:proofErr w:type="spellStart"/>
            <w:r>
              <w:rPr>
                <w:sz w:val="24"/>
                <w:szCs w:val="24"/>
              </w:rPr>
              <w:t>inReach</w:t>
            </w:r>
            <w:proofErr w:type="spellEnd"/>
            <w:r>
              <w:rPr>
                <w:sz w:val="24"/>
                <w:szCs w:val="24"/>
              </w:rPr>
              <w:t xml:space="preserve"> devices capable of sending text messages to any cell phone or </w:t>
            </w:r>
            <w:proofErr w:type="spellStart"/>
            <w:r>
              <w:rPr>
                <w:sz w:val="24"/>
                <w:szCs w:val="24"/>
              </w:rPr>
              <w:t>inReach</w:t>
            </w:r>
            <w:proofErr w:type="spellEnd"/>
            <w:r>
              <w:rPr>
                <w:sz w:val="24"/>
                <w:szCs w:val="24"/>
              </w:rPr>
              <w:t xml:space="preserve"> device worldwide, at no cost to them.   </w:t>
            </w:r>
          </w:p>
        </w:tc>
      </w:tr>
      <w:tr w:rsidR="00567491" w:rsidRPr="00B2007B" w14:paraId="220A62BA" w14:textId="77777777" w:rsidTr="00567491">
        <w:tc>
          <w:tcPr>
            <w:tcW w:w="4950" w:type="dxa"/>
            <w:tcBorders>
              <w:top w:val="single" w:sz="4" w:space="0" w:color="auto"/>
              <w:left w:val="single" w:sz="4" w:space="0" w:color="auto"/>
              <w:bottom w:val="single" w:sz="4" w:space="0" w:color="auto"/>
              <w:right w:val="single" w:sz="4" w:space="0" w:color="auto"/>
            </w:tcBorders>
          </w:tcPr>
          <w:p w14:paraId="5705ABDF" w14:textId="739FAE5F" w:rsidR="00567491" w:rsidRPr="007932AA" w:rsidRDefault="00567491" w:rsidP="00E37100">
            <w:pPr>
              <w:rPr>
                <w:rFonts w:ascii="Times New Roman" w:hAnsi="Times New Roman" w:cs="Times New Roman"/>
                <w:i/>
                <w:iCs/>
              </w:rPr>
            </w:pPr>
            <w:r w:rsidRPr="007932AA">
              <w:rPr>
                <w:rFonts w:ascii="Times New Roman" w:hAnsi="Times New Roman" w:cs="Times New Roman"/>
              </w:rPr>
              <w:t xml:space="preserve">Will participants from other entities (governmental, company, sponsor, educational institutions, subrecipients) be involved?  </w:t>
            </w:r>
            <w:r w:rsidRPr="007932AA">
              <w:rPr>
                <w:rFonts w:ascii="Times New Roman" w:hAnsi="Times New Roman" w:cs="Times New Roman"/>
                <w:i/>
                <w:iCs/>
              </w:rPr>
              <w:t>If yes, are there any special arrangements needed to make sure any misconduct involving these individuals</w:t>
            </w:r>
            <w:r w:rsidR="00341040" w:rsidRPr="007932AA">
              <w:rPr>
                <w:rFonts w:ascii="Times New Roman" w:hAnsi="Times New Roman" w:cs="Times New Roman"/>
                <w:i/>
                <w:iCs/>
              </w:rPr>
              <w:t xml:space="preserve"> is reported</w:t>
            </w:r>
            <w:r w:rsidRPr="007932AA">
              <w:rPr>
                <w:rFonts w:ascii="Times New Roman" w:hAnsi="Times New Roman" w:cs="Times New Roman"/>
                <w:i/>
                <w:iCs/>
              </w:rPr>
              <w:t xml:space="preserve">? </w:t>
            </w:r>
          </w:p>
          <w:p w14:paraId="0F9F5FF5" w14:textId="77777777" w:rsidR="00567491" w:rsidRPr="007932AA" w:rsidRDefault="00567491" w:rsidP="00E37100">
            <w:pPr>
              <w:rPr>
                <w:rFonts w:ascii="Times New Roman" w:hAnsi="Times New Roman" w:cs="Times New Roman"/>
              </w:rPr>
            </w:pPr>
          </w:p>
        </w:tc>
        <w:tc>
          <w:tcPr>
            <w:tcW w:w="5760" w:type="dxa"/>
            <w:tcBorders>
              <w:top w:val="single" w:sz="4" w:space="0" w:color="auto"/>
              <w:left w:val="single" w:sz="4" w:space="0" w:color="auto"/>
              <w:bottom w:val="single" w:sz="4" w:space="0" w:color="auto"/>
              <w:right w:val="single" w:sz="4" w:space="0" w:color="auto"/>
            </w:tcBorders>
          </w:tcPr>
          <w:p w14:paraId="7030FA97" w14:textId="445499C0" w:rsidR="00567491" w:rsidRPr="00B2007B" w:rsidRDefault="005F3DC9" w:rsidP="00E37100">
            <w:pPr>
              <w:rPr>
                <w:sz w:val="24"/>
                <w:szCs w:val="24"/>
              </w:rPr>
            </w:pPr>
            <w:r>
              <w:rPr>
                <w:sz w:val="24"/>
                <w:szCs w:val="24"/>
              </w:rPr>
              <w:t xml:space="preserve">Participants from BAS, including pilots, field guides, and many different people at Rothera Research Station. We will follow the guidelines provided by BAS to ensure any misconduct by BAS participants is </w:t>
            </w:r>
            <w:proofErr w:type="gramStart"/>
            <w:r>
              <w:rPr>
                <w:sz w:val="24"/>
                <w:szCs w:val="24"/>
              </w:rPr>
              <w:t>reported  ,</w:t>
            </w:r>
            <w:proofErr w:type="gramEnd"/>
            <w:r>
              <w:rPr>
                <w:sz w:val="24"/>
                <w:szCs w:val="24"/>
              </w:rPr>
              <w:t xml:space="preserve"> not just to the PPIs, but to leadership at the research base and BAS headquarters in Cambridge, UK.</w:t>
            </w:r>
          </w:p>
        </w:tc>
      </w:tr>
      <w:tr w:rsidR="00567491" w:rsidRPr="00B2007B" w14:paraId="4EDC30B5" w14:textId="77777777" w:rsidTr="00567491">
        <w:tc>
          <w:tcPr>
            <w:tcW w:w="4950" w:type="dxa"/>
            <w:tcBorders>
              <w:top w:val="single" w:sz="4" w:space="0" w:color="auto"/>
              <w:left w:val="single" w:sz="4" w:space="0" w:color="auto"/>
              <w:bottom w:val="single" w:sz="4" w:space="0" w:color="auto"/>
              <w:right w:val="single" w:sz="4" w:space="0" w:color="auto"/>
            </w:tcBorders>
          </w:tcPr>
          <w:p w14:paraId="037A3465" w14:textId="76797CFE" w:rsidR="00567491" w:rsidRPr="007932AA" w:rsidRDefault="00567491" w:rsidP="00E37100">
            <w:pPr>
              <w:rPr>
                <w:rFonts w:ascii="Times New Roman" w:hAnsi="Times New Roman" w:cs="Times New Roman"/>
                <w:i/>
                <w:iCs/>
              </w:rPr>
            </w:pPr>
            <w:r w:rsidRPr="007932AA">
              <w:rPr>
                <w:rFonts w:ascii="Times New Roman" w:hAnsi="Times New Roman" w:cs="Times New Roman"/>
              </w:rPr>
              <w:t xml:space="preserve">Recommended contact for any suspected misbehavior </w:t>
            </w:r>
            <w:r w:rsidRPr="007932AA">
              <w:rPr>
                <w:rFonts w:ascii="Times New Roman" w:hAnsi="Times New Roman" w:cs="Times New Roman"/>
                <w:i/>
                <w:iCs/>
              </w:rPr>
              <w:t>(</w:t>
            </w:r>
            <w:r w:rsidR="00341040" w:rsidRPr="007932AA">
              <w:rPr>
                <w:rFonts w:ascii="Times New Roman" w:hAnsi="Times New Roman" w:cs="Times New Roman"/>
                <w:i/>
                <w:iCs/>
              </w:rPr>
              <w:t xml:space="preserve">note: </w:t>
            </w:r>
            <w:r w:rsidRPr="007932AA">
              <w:rPr>
                <w:rFonts w:ascii="Times New Roman" w:hAnsi="Times New Roman" w:cs="Times New Roman"/>
                <w:i/>
                <w:iCs/>
              </w:rPr>
              <w:t>participants remain free to use this contact or any other contact they prefer to report misconduct</w:t>
            </w:r>
            <w:r w:rsidR="00624407" w:rsidRPr="007932AA">
              <w:rPr>
                <w:rFonts w:ascii="Times New Roman" w:hAnsi="Times New Roman" w:cs="Times New Roman"/>
                <w:i/>
                <w:iCs/>
              </w:rPr>
              <w:t xml:space="preserve"> including </w:t>
            </w:r>
            <w:r w:rsidR="00341040" w:rsidRPr="007932AA">
              <w:rPr>
                <w:rFonts w:ascii="Times New Roman" w:hAnsi="Times New Roman" w:cs="Times New Roman"/>
                <w:i/>
                <w:iCs/>
              </w:rPr>
              <w:t>contacts</w:t>
            </w:r>
            <w:r w:rsidR="00624407" w:rsidRPr="007932AA">
              <w:rPr>
                <w:rFonts w:ascii="Times New Roman" w:hAnsi="Times New Roman" w:cs="Times New Roman"/>
                <w:i/>
                <w:iCs/>
              </w:rPr>
              <w:t xml:space="preserve"> on the following pages</w:t>
            </w:r>
            <w:r w:rsidRPr="007932AA">
              <w:rPr>
                <w:rFonts w:ascii="Times New Roman" w:hAnsi="Times New Roman" w:cs="Times New Roman"/>
                <w:i/>
                <w:iCs/>
              </w:rPr>
              <w:t>)</w:t>
            </w:r>
          </w:p>
          <w:p w14:paraId="0238AA5D" w14:textId="77777777" w:rsidR="00567491" w:rsidRPr="007932AA" w:rsidRDefault="00567491" w:rsidP="00E37100">
            <w:pPr>
              <w:rPr>
                <w:rFonts w:ascii="Times New Roman" w:hAnsi="Times New Roman" w:cs="Times New Roman"/>
              </w:rPr>
            </w:pPr>
          </w:p>
        </w:tc>
        <w:tc>
          <w:tcPr>
            <w:tcW w:w="5760" w:type="dxa"/>
            <w:tcBorders>
              <w:top w:val="single" w:sz="4" w:space="0" w:color="auto"/>
              <w:left w:val="single" w:sz="4" w:space="0" w:color="auto"/>
              <w:bottom w:val="single" w:sz="4" w:space="0" w:color="auto"/>
              <w:right w:val="single" w:sz="4" w:space="0" w:color="auto"/>
            </w:tcBorders>
          </w:tcPr>
          <w:p w14:paraId="52EC5094" w14:textId="0F49A8E2" w:rsidR="00567491" w:rsidRPr="00B2007B" w:rsidRDefault="005F3DC9" w:rsidP="00E37100">
            <w:pPr>
              <w:rPr>
                <w:sz w:val="24"/>
                <w:szCs w:val="24"/>
              </w:rPr>
            </w:pPr>
            <w:r>
              <w:rPr>
                <w:sz w:val="24"/>
                <w:szCs w:val="24"/>
              </w:rPr>
              <w:t>PI Jonathan Kingslake, or UK PIs Stephen Livingstone (</w:t>
            </w:r>
            <w:hyperlink r:id="rId9" w:history="1">
              <w:r w:rsidRPr="007E2F89">
                <w:rPr>
                  <w:rStyle w:val="Hyperlink"/>
                </w:rPr>
                <w:t>s.j.livingstone@sheffield.ac.uk</w:t>
              </w:r>
            </w:hyperlink>
            <w:r>
              <w:rPr>
                <w:sz w:val="24"/>
                <w:szCs w:val="24"/>
              </w:rPr>
              <w:t>) or Andrew Sole (</w:t>
            </w:r>
            <w:r w:rsidRPr="005F3DC9">
              <w:rPr>
                <w:sz w:val="24"/>
                <w:szCs w:val="24"/>
              </w:rPr>
              <w:t>A.Sole@sheffield.ac.uk</w:t>
            </w:r>
            <w:r>
              <w:rPr>
                <w:sz w:val="24"/>
                <w:szCs w:val="24"/>
              </w:rPr>
              <w:t>)</w:t>
            </w:r>
          </w:p>
        </w:tc>
      </w:tr>
      <w:tr w:rsidR="00567491" w:rsidRPr="00B2007B" w14:paraId="1AF9BA11" w14:textId="77777777" w:rsidTr="00567491">
        <w:tc>
          <w:tcPr>
            <w:tcW w:w="4950" w:type="dxa"/>
            <w:tcBorders>
              <w:top w:val="single" w:sz="4" w:space="0" w:color="auto"/>
              <w:left w:val="single" w:sz="4" w:space="0" w:color="auto"/>
              <w:bottom w:val="single" w:sz="4" w:space="0" w:color="auto"/>
              <w:right w:val="single" w:sz="4" w:space="0" w:color="auto"/>
            </w:tcBorders>
            <w:hideMark/>
          </w:tcPr>
          <w:p w14:paraId="704572A8" w14:textId="2337B7C6" w:rsidR="00567491" w:rsidRPr="007932AA" w:rsidRDefault="006D6555" w:rsidP="00E37100">
            <w:pPr>
              <w:rPr>
                <w:rFonts w:ascii="Times New Roman" w:hAnsi="Times New Roman" w:cs="Times New Roman"/>
              </w:rPr>
            </w:pPr>
            <w:r w:rsidRPr="007932AA">
              <w:rPr>
                <w:rFonts w:ascii="Times New Roman" w:hAnsi="Times New Roman" w:cs="Times New Roman"/>
              </w:rPr>
              <w:t>Are there a</w:t>
            </w:r>
            <w:r w:rsidR="00567491" w:rsidRPr="007932AA">
              <w:rPr>
                <w:rFonts w:ascii="Times New Roman" w:hAnsi="Times New Roman" w:cs="Times New Roman"/>
              </w:rPr>
              <w:t>ny special circumstances that necessitate special plans</w:t>
            </w:r>
            <w:r w:rsidRPr="007932AA">
              <w:rPr>
                <w:rFonts w:ascii="Times New Roman" w:hAnsi="Times New Roman" w:cs="Times New Roman"/>
              </w:rPr>
              <w:t>?</w:t>
            </w:r>
            <w:r w:rsidR="00567491" w:rsidRPr="007932AA">
              <w:rPr>
                <w:rFonts w:ascii="Times New Roman" w:hAnsi="Times New Roman" w:cs="Times New Roman"/>
              </w:rPr>
              <w:t xml:space="preserve"> </w:t>
            </w:r>
            <w:r w:rsidR="00567491" w:rsidRPr="007932AA">
              <w:rPr>
                <w:rFonts w:ascii="Times New Roman" w:hAnsi="Times New Roman" w:cs="Times New Roman"/>
                <w:i/>
                <w:iCs/>
              </w:rPr>
              <w:t>(e.g., participants are at sea without ability to make contact with land</w:t>
            </w:r>
            <w:r w:rsidR="00341040" w:rsidRPr="007932AA">
              <w:rPr>
                <w:rFonts w:ascii="Times New Roman" w:hAnsi="Times New Roman" w:cs="Times New Roman"/>
                <w:i/>
                <w:iCs/>
              </w:rPr>
              <w:t xml:space="preserve">, </w:t>
            </w:r>
            <w:r w:rsidR="00567491" w:rsidRPr="007932AA">
              <w:rPr>
                <w:rFonts w:ascii="Times New Roman" w:hAnsi="Times New Roman" w:cs="Times New Roman"/>
                <w:i/>
                <w:iCs/>
              </w:rPr>
              <w:t>only a single satellite phone is available for the group, no local transportation to a safe space is likely to be available, variance in cultural norms might necessitate advance awareness training).</w:t>
            </w:r>
            <w:r w:rsidR="00567491" w:rsidRPr="007932AA">
              <w:rPr>
                <w:rFonts w:ascii="Times New Roman" w:hAnsi="Times New Roman" w:cs="Times New Roman"/>
              </w:rPr>
              <w:t xml:space="preserve">  If yes,</w:t>
            </w:r>
            <w:r w:rsidRPr="007932AA">
              <w:rPr>
                <w:rFonts w:ascii="Times New Roman" w:hAnsi="Times New Roman" w:cs="Times New Roman"/>
              </w:rPr>
              <w:t xml:space="preserve"> describe those circumstances and the</w:t>
            </w:r>
            <w:r w:rsidR="00567491" w:rsidRPr="007932AA">
              <w:rPr>
                <w:rFonts w:ascii="Times New Roman" w:hAnsi="Times New Roman" w:cs="Times New Roman"/>
              </w:rPr>
              <w:t xml:space="preserve"> arrangements in </w:t>
            </w:r>
            <w:r w:rsidR="00567491" w:rsidRPr="007932AA">
              <w:rPr>
                <w:rFonts w:ascii="Times New Roman" w:hAnsi="Times New Roman" w:cs="Times New Roman"/>
              </w:rPr>
              <w:lastRenderedPageBreak/>
              <w:t>place to assure misconduct can be reported or safe alternatives made availabl</w:t>
            </w:r>
            <w:r w:rsidR="007932AA" w:rsidRPr="007932AA">
              <w:rPr>
                <w:rFonts w:ascii="Times New Roman" w:hAnsi="Times New Roman" w:cs="Times New Roman"/>
              </w:rPr>
              <w:t>e.</w:t>
            </w:r>
            <w:r w:rsidR="00567491" w:rsidRPr="007932AA">
              <w:rPr>
                <w:rFonts w:ascii="Times New Roman" w:hAnsi="Times New Roman" w:cs="Times New Roman"/>
              </w:rPr>
              <w:t xml:space="preserve"> </w:t>
            </w:r>
          </w:p>
        </w:tc>
        <w:tc>
          <w:tcPr>
            <w:tcW w:w="5760" w:type="dxa"/>
            <w:tcBorders>
              <w:top w:val="single" w:sz="4" w:space="0" w:color="auto"/>
              <w:left w:val="single" w:sz="4" w:space="0" w:color="auto"/>
              <w:bottom w:val="single" w:sz="4" w:space="0" w:color="auto"/>
              <w:right w:val="single" w:sz="4" w:space="0" w:color="auto"/>
            </w:tcBorders>
          </w:tcPr>
          <w:p w14:paraId="63FA6801" w14:textId="77777777" w:rsidR="00567491" w:rsidRDefault="005F3DC9" w:rsidP="00E37100">
            <w:pPr>
              <w:rPr>
                <w:sz w:val="24"/>
                <w:szCs w:val="24"/>
              </w:rPr>
            </w:pPr>
            <w:r>
              <w:rPr>
                <w:sz w:val="24"/>
                <w:szCs w:val="24"/>
              </w:rPr>
              <w:lastRenderedPageBreak/>
              <w:t xml:space="preserve">The field camp will be remote and evacuation will be challenging and could be delayed aircraft availability or weather. </w:t>
            </w:r>
          </w:p>
          <w:p w14:paraId="334C8E3E" w14:textId="01A9CF3E" w:rsidR="00604A69" w:rsidRPr="00B2007B" w:rsidRDefault="00604A69" w:rsidP="00E37100">
            <w:pPr>
              <w:rPr>
                <w:sz w:val="24"/>
                <w:szCs w:val="24"/>
              </w:rPr>
            </w:pPr>
            <w:r>
              <w:rPr>
                <w:sz w:val="24"/>
                <w:szCs w:val="24"/>
              </w:rPr>
              <w:t xml:space="preserve">Individual </w:t>
            </w:r>
            <w:proofErr w:type="spellStart"/>
            <w:r>
              <w:rPr>
                <w:sz w:val="24"/>
                <w:szCs w:val="24"/>
              </w:rPr>
              <w:t>inReach</w:t>
            </w:r>
            <w:proofErr w:type="spellEnd"/>
            <w:r>
              <w:rPr>
                <w:sz w:val="24"/>
                <w:szCs w:val="24"/>
              </w:rPr>
              <w:t xml:space="preserve"> devices will be provided to all participants in case there are not individual satellite phones available to each participant.</w:t>
            </w:r>
          </w:p>
        </w:tc>
      </w:tr>
      <w:tr w:rsidR="00567491" w:rsidRPr="00B2007B" w14:paraId="504D275E" w14:textId="77777777" w:rsidTr="00567491">
        <w:tc>
          <w:tcPr>
            <w:tcW w:w="4950" w:type="dxa"/>
            <w:tcBorders>
              <w:top w:val="single" w:sz="4" w:space="0" w:color="auto"/>
              <w:left w:val="single" w:sz="4" w:space="0" w:color="auto"/>
              <w:bottom w:val="single" w:sz="4" w:space="0" w:color="auto"/>
              <w:right w:val="single" w:sz="4" w:space="0" w:color="auto"/>
            </w:tcBorders>
          </w:tcPr>
          <w:p w14:paraId="601C46AE" w14:textId="5313CE3C" w:rsidR="00567491" w:rsidRPr="007932AA" w:rsidRDefault="00567491" w:rsidP="00E37100">
            <w:pPr>
              <w:rPr>
                <w:rFonts w:ascii="Times New Roman" w:hAnsi="Times New Roman" w:cs="Times New Roman"/>
              </w:rPr>
            </w:pPr>
            <w:r w:rsidRPr="007932AA">
              <w:rPr>
                <w:rFonts w:ascii="Times New Roman" w:hAnsi="Times New Roman" w:cs="Times New Roman"/>
              </w:rPr>
              <w:t xml:space="preserve">Other </w:t>
            </w:r>
            <w:r w:rsidR="00F419A8" w:rsidRPr="007932AA">
              <w:rPr>
                <w:rFonts w:ascii="Times New Roman" w:hAnsi="Times New Roman" w:cs="Times New Roman"/>
              </w:rPr>
              <w:t>c</w:t>
            </w:r>
            <w:r w:rsidRPr="007932AA">
              <w:rPr>
                <w:rFonts w:ascii="Times New Roman" w:hAnsi="Times New Roman" w:cs="Times New Roman"/>
              </w:rPr>
              <w:t xml:space="preserve">omments or </w:t>
            </w:r>
            <w:r w:rsidR="00462DF3" w:rsidRPr="007932AA">
              <w:rPr>
                <w:rFonts w:ascii="Times New Roman" w:hAnsi="Times New Roman" w:cs="Times New Roman"/>
              </w:rPr>
              <w:t>i</w:t>
            </w:r>
            <w:r w:rsidRPr="007932AA">
              <w:rPr>
                <w:rFonts w:ascii="Times New Roman" w:hAnsi="Times New Roman" w:cs="Times New Roman"/>
              </w:rPr>
              <w:t xml:space="preserve">nformation that participants may find useful. </w:t>
            </w:r>
          </w:p>
        </w:tc>
        <w:tc>
          <w:tcPr>
            <w:tcW w:w="5760" w:type="dxa"/>
            <w:tcBorders>
              <w:top w:val="single" w:sz="4" w:space="0" w:color="auto"/>
              <w:left w:val="single" w:sz="4" w:space="0" w:color="auto"/>
              <w:bottom w:val="single" w:sz="4" w:space="0" w:color="auto"/>
              <w:right w:val="single" w:sz="4" w:space="0" w:color="auto"/>
            </w:tcBorders>
          </w:tcPr>
          <w:p w14:paraId="37D06205" w14:textId="294558D7" w:rsidR="00567491" w:rsidRPr="00B2007B" w:rsidRDefault="00CB49BE" w:rsidP="00E37100">
            <w:pPr>
              <w:rPr>
                <w:sz w:val="24"/>
                <w:szCs w:val="24"/>
              </w:rPr>
            </w:pPr>
            <w:r>
              <w:rPr>
                <w:sz w:val="24"/>
                <w:szCs w:val="24"/>
              </w:rPr>
              <w:t xml:space="preserve">We will implement the ITGC field-work best practices document, partly developed by PI Kingslake, hosted here: </w:t>
            </w:r>
            <w:r w:rsidRPr="00CB49BE">
              <w:rPr>
                <w:sz w:val="24"/>
                <w:szCs w:val="24"/>
              </w:rPr>
              <w:t>https://ldeo-glaciology.github.io/ITGC-field-doc/</w:t>
            </w:r>
          </w:p>
        </w:tc>
      </w:tr>
    </w:tbl>
    <w:p w14:paraId="1E352908" w14:textId="77777777" w:rsidR="0068056D" w:rsidRPr="00B2007B" w:rsidRDefault="0068056D" w:rsidP="00E37100">
      <w:pPr>
        <w:pStyle w:val="BodyText"/>
        <w:ind w:right="181"/>
      </w:pPr>
    </w:p>
    <w:p w14:paraId="1539DBFE" w14:textId="77764FCD" w:rsidR="00266295" w:rsidRDefault="00266295" w:rsidP="00266295">
      <w:pPr>
        <w:pStyle w:val="BodyText"/>
        <w:ind w:left="475" w:right="187"/>
        <w:rPr>
          <w:b/>
          <w:bCs/>
          <w:u w:val="single"/>
        </w:rPr>
      </w:pPr>
    </w:p>
    <w:p w14:paraId="10E051D4" w14:textId="08AFEA4A" w:rsidR="00266295" w:rsidRDefault="00266295" w:rsidP="00266295">
      <w:pPr>
        <w:pStyle w:val="BodyText"/>
        <w:ind w:left="475" w:right="187"/>
        <w:rPr>
          <w:b/>
          <w:bCs/>
          <w:u w:val="single"/>
        </w:rPr>
      </w:pPr>
    </w:p>
    <w:p w14:paraId="5FBBDC2B" w14:textId="77777777" w:rsidR="00266295" w:rsidRPr="00266295" w:rsidRDefault="00266295" w:rsidP="00266295">
      <w:pPr>
        <w:pStyle w:val="BodyText"/>
        <w:ind w:left="475" w:right="187"/>
        <w:rPr>
          <w:b/>
          <w:bCs/>
          <w:u w:val="single"/>
        </w:rPr>
      </w:pPr>
    </w:p>
    <w:p w14:paraId="4ED5340A" w14:textId="77777777" w:rsidR="00266295" w:rsidRDefault="00266295" w:rsidP="00266295">
      <w:pPr>
        <w:pStyle w:val="BodyText"/>
        <w:ind w:left="475" w:right="187"/>
        <w:rPr>
          <w:b/>
          <w:bCs/>
          <w:u w:val="single"/>
        </w:rPr>
      </w:pPr>
    </w:p>
    <w:p w14:paraId="588CD1FC" w14:textId="44FA3BCE" w:rsidR="00E37100" w:rsidRPr="00E37100" w:rsidRDefault="0068056D" w:rsidP="003533FB">
      <w:pPr>
        <w:pStyle w:val="BodyText"/>
        <w:numPr>
          <w:ilvl w:val="0"/>
          <w:numId w:val="7"/>
        </w:numPr>
        <w:ind w:left="475" w:right="187"/>
        <w:rPr>
          <w:b/>
          <w:bCs/>
          <w:u w:val="single"/>
        </w:rPr>
      </w:pPr>
      <w:r w:rsidRPr="00B2007B">
        <w:rPr>
          <w:b/>
          <w:bCs/>
          <w:u w:val="single"/>
        </w:rPr>
        <w:t>Columbia’s Commitment to Safe and Inclusive Research Environments</w:t>
      </w:r>
      <w:r w:rsidR="00E37100">
        <w:rPr>
          <w:b/>
          <w:bCs/>
          <w:u w:val="single"/>
        </w:rPr>
        <w:br/>
      </w:r>
    </w:p>
    <w:p w14:paraId="70981E34" w14:textId="2A3F0E4F" w:rsidR="0068056D" w:rsidRDefault="0068056D" w:rsidP="00E37100">
      <w:pPr>
        <w:pStyle w:val="BodyText"/>
        <w:ind w:left="109" w:right="256"/>
      </w:pPr>
      <w:r w:rsidRPr="00B2007B">
        <w:t xml:space="preserve">All employees, applicants for employment, interns (paid or unpaid), students, contractors and people conducting business with the University are protected from prohibited conduct. The University does not tolerate unlawful discrimination, harassment, sexual assault, domestic violence, dating violence, stalking, or sexual exploitation and all such conduct is </w:t>
      </w:r>
      <w:r w:rsidR="00B5792A" w:rsidRPr="00B2007B">
        <w:t xml:space="preserve">prohibited </w:t>
      </w:r>
      <w:r w:rsidRPr="00B2007B">
        <w:t xml:space="preserve">by Columbia University Policy. Some specific examples of behaviors that will not be tolerated during </w:t>
      </w:r>
      <w:proofErr w:type="gramStart"/>
      <w:r w:rsidRPr="00B2007B">
        <w:t>University</w:t>
      </w:r>
      <w:proofErr w:type="gramEnd"/>
      <w:r w:rsidRPr="00B2007B">
        <w:t>-sponsored programs or activities include, but are not limited to:</w:t>
      </w:r>
    </w:p>
    <w:p w14:paraId="5014ABCA" w14:textId="77777777" w:rsidR="00E37100" w:rsidRPr="00B2007B" w:rsidRDefault="00E37100" w:rsidP="00E37100">
      <w:pPr>
        <w:pStyle w:val="BodyText"/>
        <w:ind w:left="109" w:right="256"/>
      </w:pPr>
    </w:p>
    <w:p w14:paraId="16CBB478" w14:textId="77777777" w:rsidR="0068056D" w:rsidRPr="00B2007B" w:rsidRDefault="0068056D" w:rsidP="00E37100">
      <w:pPr>
        <w:pStyle w:val="BodyText"/>
        <w:numPr>
          <w:ilvl w:val="0"/>
          <w:numId w:val="1"/>
        </w:numPr>
        <w:ind w:right="256"/>
      </w:pPr>
      <w:r w:rsidRPr="00B2007B">
        <w:t>engaging in biased, demeaning, intimidating, coercive, harassing, or hostile conduct or commentary, on the basis of age, alienage or citizenship status; arrest or conviction record; caregiver status; color; credit history; creed; disability; familial status; gender (sex); gender identity; genetic predisposition or carrier status; lactation accommodation; marital status; national origin; pregnancy; race; religion; salary history; sexual or reproductive health decisions; sexual orientation; status as a victim of domestic violence, stalking, or sex offenses; unemployment status; veteran or active military status; or any other protected characteristic as established by law;</w:t>
      </w:r>
    </w:p>
    <w:p w14:paraId="1FD71193" w14:textId="77777777" w:rsidR="0068056D" w:rsidRPr="00B2007B" w:rsidRDefault="0068056D" w:rsidP="00E37100">
      <w:pPr>
        <w:pStyle w:val="BodyText"/>
        <w:numPr>
          <w:ilvl w:val="0"/>
          <w:numId w:val="1"/>
        </w:numPr>
        <w:ind w:right="256"/>
      </w:pPr>
      <w:r w:rsidRPr="00B2007B">
        <w:t>retaliation against reporting of conduct concerns or assisting in conflict resolution;</w:t>
      </w:r>
    </w:p>
    <w:p w14:paraId="652A1B73" w14:textId="0025AC26" w:rsidR="0068056D" w:rsidRDefault="0068056D" w:rsidP="00E37100">
      <w:pPr>
        <w:pStyle w:val="BodyText"/>
        <w:numPr>
          <w:ilvl w:val="0"/>
          <w:numId w:val="1"/>
        </w:numPr>
        <w:ind w:right="256"/>
      </w:pPr>
      <w:r w:rsidRPr="00B2007B">
        <w:t>engaging in any of the above behaviors in an online platform (e.g., Zoom).</w:t>
      </w:r>
    </w:p>
    <w:p w14:paraId="4049D7C4" w14:textId="77777777" w:rsidR="00E37100" w:rsidRPr="00B2007B" w:rsidRDefault="00E37100" w:rsidP="00E37100">
      <w:pPr>
        <w:pStyle w:val="BodyText"/>
        <w:ind w:left="884" w:right="256"/>
      </w:pPr>
    </w:p>
    <w:p w14:paraId="2700A05C" w14:textId="16B5A218" w:rsidR="007A7DB7" w:rsidRPr="00B2007B" w:rsidRDefault="00770FD5" w:rsidP="00E37100">
      <w:pPr>
        <w:pStyle w:val="BodyText"/>
        <w:ind w:left="109" w:right="181"/>
      </w:pPr>
      <w:r w:rsidRPr="00B2007B">
        <w:t xml:space="preserve">The Office of </w:t>
      </w:r>
      <w:hyperlink r:id="rId10" w:history="1">
        <w:r w:rsidRPr="00B2007B">
          <w:rPr>
            <w:rStyle w:val="Hyperlink"/>
          </w:rPr>
          <w:t>Equal Opportunity and Affirmative Action Policies and Procedures</w:t>
        </w:r>
      </w:hyperlink>
      <w:r w:rsidRPr="00B2007B">
        <w:t xml:space="preserve"> (“EOAA Policies &amp; Procedures”) are designed to establish a non-discriminatory work and educational environment and to meet relevant legal requirements.</w:t>
      </w:r>
      <w:r w:rsidRPr="00B2007B">
        <w:rPr>
          <w:rStyle w:val="FootnoteReference"/>
        </w:rPr>
        <w:footnoteReference w:id="2"/>
      </w:r>
      <w:r w:rsidRPr="00B2007B">
        <w:t xml:space="preserve"> </w:t>
      </w:r>
      <w:r w:rsidR="007A7DB7" w:rsidRPr="007A7DB7">
        <w:t xml:space="preserve"> </w:t>
      </w:r>
    </w:p>
    <w:p w14:paraId="32171FB2" w14:textId="60D63EC8" w:rsidR="00770FD5" w:rsidRPr="00B2007B" w:rsidRDefault="00770FD5" w:rsidP="00E37100">
      <w:pPr>
        <w:pStyle w:val="BodyText"/>
        <w:ind w:left="109" w:right="181"/>
      </w:pPr>
    </w:p>
    <w:p w14:paraId="1633567A" w14:textId="29186BB4" w:rsidR="00244421" w:rsidRPr="00B2007B" w:rsidRDefault="00244421" w:rsidP="00E37100">
      <w:pPr>
        <w:pStyle w:val="BodyText"/>
        <w:ind w:left="109" w:right="181"/>
      </w:pPr>
      <w:r w:rsidRPr="00B2007B">
        <w:t>These Policies apply to any University-sponsored program, including programs that take place off-campus or in the field or on an online platform (e.g., Zoom).</w:t>
      </w:r>
    </w:p>
    <w:p w14:paraId="3DCEABA7" w14:textId="77777777" w:rsidR="00244421" w:rsidRPr="00B2007B" w:rsidRDefault="00244421" w:rsidP="00E37100">
      <w:pPr>
        <w:pStyle w:val="BodyText"/>
        <w:ind w:left="109" w:right="181"/>
      </w:pPr>
    </w:p>
    <w:p w14:paraId="7DDC5280" w14:textId="5FB130F6" w:rsidR="00B5792A" w:rsidRPr="00B2007B" w:rsidRDefault="00B5792A" w:rsidP="00E37100">
      <w:pPr>
        <w:pStyle w:val="BodyText"/>
        <w:ind w:left="109" w:right="256"/>
      </w:pPr>
      <w:r w:rsidRPr="00B2007B">
        <w:t xml:space="preserve">The EOAA Policies and Procedures also govern the conduct of third parties that occurs on any University campus, in connection with </w:t>
      </w:r>
      <w:proofErr w:type="gramStart"/>
      <w:r w:rsidRPr="00B2007B">
        <w:t>University</w:t>
      </w:r>
      <w:proofErr w:type="gramEnd"/>
      <w:r w:rsidRPr="00B2007B">
        <w:t>-sponsored programs or activities that take place off-campus, and/or University-sponsored programs or activities occurring in an online format (e.g., Zoom).</w:t>
      </w:r>
    </w:p>
    <w:p w14:paraId="66525634" w14:textId="77777777" w:rsidR="00B5792A" w:rsidRPr="007A7DB7" w:rsidRDefault="00B5792A" w:rsidP="00E37100">
      <w:pPr>
        <w:pStyle w:val="BodyText"/>
        <w:ind w:left="109" w:right="181"/>
      </w:pPr>
    </w:p>
    <w:p w14:paraId="683E1FC4" w14:textId="3F6B35F3" w:rsidR="0000247A" w:rsidRPr="00B2007B" w:rsidRDefault="007A7DB7" w:rsidP="00E37100">
      <w:pPr>
        <w:pStyle w:val="BodyText"/>
        <w:ind w:left="109" w:right="181"/>
      </w:pPr>
      <w:r w:rsidRPr="007A7DB7">
        <w:t xml:space="preserve">The University strongly encourages those who have experienced, witnessed, or become aware </w:t>
      </w:r>
      <w:r w:rsidRPr="007A7DB7">
        <w:lastRenderedPageBreak/>
        <w:t xml:space="preserve">of conduct that violates EOAA Policies &amp; Procedures to come forward promptly so that the University can take appropriate steps to prevent such conduct from occurring in the future and to ameliorate its effects. EOAA has a variety of resources available that support individuals affected by harassment. The University will respond to any reports related to this </w:t>
      </w:r>
      <w:r w:rsidR="00C82870">
        <w:t>field or off-site activity</w:t>
      </w:r>
      <w:r w:rsidRPr="007A7DB7">
        <w:t xml:space="preserve"> in accordance with the applicable EOAA Policies and Procedures. The University will protect the privacy of those who come forward to the extent possible and permissible by law.</w:t>
      </w:r>
    </w:p>
    <w:p w14:paraId="16D49C79" w14:textId="77777777" w:rsidR="00770FD5" w:rsidRPr="00B2007B" w:rsidRDefault="00770FD5" w:rsidP="00E37100">
      <w:pPr>
        <w:pStyle w:val="BodyText"/>
        <w:ind w:left="109" w:right="181"/>
      </w:pPr>
    </w:p>
    <w:p w14:paraId="0B8D4BBF" w14:textId="77777777" w:rsidR="000224D2" w:rsidRDefault="000224D2" w:rsidP="00E37100">
      <w:pPr>
        <w:pStyle w:val="BodyText"/>
        <w:ind w:left="109" w:right="181"/>
      </w:pPr>
    </w:p>
    <w:p w14:paraId="5E14A25E" w14:textId="6C336A98" w:rsidR="007A7DB7" w:rsidRDefault="007A7DB7" w:rsidP="00E37100">
      <w:pPr>
        <w:pStyle w:val="BodyText"/>
        <w:ind w:left="109" w:right="181"/>
      </w:pPr>
      <w:r w:rsidRPr="007A7DB7">
        <w:t xml:space="preserve">If you believe that you have been subjected to, witnessed, or have otherwise learned of conduct prohibited by EOAA’s Policies &amp; Procedures, you </w:t>
      </w:r>
      <w:r w:rsidR="00B5792A" w:rsidRPr="00B2007B">
        <w:t xml:space="preserve">may </w:t>
      </w:r>
      <w:r w:rsidRPr="007A7DB7">
        <w:t xml:space="preserve">notify the University in any of the following ways: </w:t>
      </w:r>
    </w:p>
    <w:p w14:paraId="177CA643" w14:textId="77777777" w:rsidR="00E37100" w:rsidRPr="007A7DB7" w:rsidRDefault="00E37100" w:rsidP="00E37100">
      <w:pPr>
        <w:pStyle w:val="BodyText"/>
        <w:ind w:left="109" w:right="181"/>
      </w:pPr>
    </w:p>
    <w:p w14:paraId="58A5CBC9" w14:textId="77777777" w:rsidR="007A7DB7" w:rsidRPr="007A7DB7" w:rsidRDefault="007A7DB7" w:rsidP="00E37100">
      <w:pPr>
        <w:spacing w:line="240" w:lineRule="auto"/>
      </w:pPr>
      <w:r w:rsidRPr="007A7DB7">
        <w:t xml:space="preserve">→ Via online report </w:t>
      </w:r>
    </w:p>
    <w:p w14:paraId="6B87BD7A" w14:textId="77777777" w:rsidR="007A7DB7" w:rsidRPr="007A7DB7" w:rsidRDefault="007A7DB7" w:rsidP="00E37100">
      <w:pPr>
        <w:spacing w:line="240" w:lineRule="auto"/>
      </w:pPr>
      <w:r w:rsidRPr="007A7DB7">
        <w:t xml:space="preserve">→ By email at eoaa@columbia.edu </w:t>
      </w:r>
    </w:p>
    <w:p w14:paraId="517CDAE5" w14:textId="77777777" w:rsidR="007A7DB7" w:rsidRPr="007A7DB7" w:rsidRDefault="007A7DB7" w:rsidP="00E37100">
      <w:pPr>
        <w:spacing w:line="240" w:lineRule="auto"/>
      </w:pPr>
      <w:r w:rsidRPr="007A7DB7">
        <w:t xml:space="preserve">→ By phone at (212) 854-5511 </w:t>
      </w:r>
    </w:p>
    <w:p w14:paraId="3DE65A7C" w14:textId="77777777" w:rsidR="007A7DB7" w:rsidRPr="007A7DB7" w:rsidRDefault="007A7DB7" w:rsidP="00E37100">
      <w:pPr>
        <w:spacing w:line="240" w:lineRule="auto"/>
      </w:pPr>
      <w:r w:rsidRPr="007A7DB7">
        <w:t xml:space="preserve">→ By mail at 103 Low Library, MC 4333, 535 West 116th Street, New York, NY 10027; or </w:t>
      </w:r>
    </w:p>
    <w:p w14:paraId="492A11FA" w14:textId="77777777" w:rsidR="007A7DB7" w:rsidRPr="007A7DB7" w:rsidRDefault="007A7DB7" w:rsidP="00E37100">
      <w:pPr>
        <w:spacing w:line="240" w:lineRule="auto"/>
      </w:pPr>
      <w:r w:rsidRPr="007A7DB7">
        <w:t xml:space="preserve">→ By hand delivery to 103 Low Library. </w:t>
      </w:r>
    </w:p>
    <w:p w14:paraId="6E006FDF" w14:textId="77777777" w:rsidR="007A7DB7" w:rsidRPr="007A7DB7" w:rsidRDefault="007A7DB7" w:rsidP="00E37100">
      <w:pPr>
        <w:spacing w:line="240" w:lineRule="auto"/>
      </w:pPr>
      <w:r w:rsidRPr="007A7DB7">
        <w:t xml:space="preserve">→ Title IX Coordinator </w:t>
      </w:r>
    </w:p>
    <w:p w14:paraId="21D0A5DD" w14:textId="77777777" w:rsidR="007A7DB7" w:rsidRPr="007A7DB7" w:rsidRDefault="007A7DB7" w:rsidP="00E37100">
      <w:pPr>
        <w:spacing w:line="240" w:lineRule="auto"/>
        <w:ind w:firstLine="720"/>
      </w:pPr>
      <w:r w:rsidRPr="007A7DB7">
        <w:t xml:space="preserve">• Email: titleix@columbia.edu </w:t>
      </w:r>
    </w:p>
    <w:p w14:paraId="5C77DFD5" w14:textId="77777777" w:rsidR="007A7DB7" w:rsidRPr="007A7DB7" w:rsidRDefault="007A7DB7" w:rsidP="00E37100">
      <w:pPr>
        <w:spacing w:line="240" w:lineRule="auto"/>
        <w:ind w:firstLine="720"/>
      </w:pPr>
      <w:r w:rsidRPr="007A7DB7">
        <w:t xml:space="preserve">• Phone: 212-843-1276 </w:t>
      </w:r>
    </w:p>
    <w:p w14:paraId="7DD2D254" w14:textId="77777777" w:rsidR="007A7DB7" w:rsidRPr="007A7DB7" w:rsidRDefault="007A7DB7" w:rsidP="00E37100">
      <w:pPr>
        <w:spacing w:line="240" w:lineRule="auto"/>
        <w:ind w:firstLine="720"/>
      </w:pPr>
      <w:r w:rsidRPr="007A7DB7">
        <w:t xml:space="preserve">• Mailing Address: Kent Hall, 201(A), 1150 Amsterdam Ave., New York, NY 10027 </w:t>
      </w:r>
    </w:p>
    <w:p w14:paraId="04C3C8A8" w14:textId="1A98F6EA" w:rsidR="007A7DB7" w:rsidRPr="00B2007B" w:rsidRDefault="007A7DB7" w:rsidP="00E37100">
      <w:pPr>
        <w:spacing w:line="240" w:lineRule="auto"/>
      </w:pPr>
    </w:p>
    <w:p w14:paraId="79453F7A" w14:textId="48B0EBC8" w:rsidR="006258BA" w:rsidRPr="00B2007B" w:rsidRDefault="009537B0" w:rsidP="003533FB">
      <w:pPr>
        <w:pStyle w:val="ListParagraph"/>
        <w:numPr>
          <w:ilvl w:val="0"/>
          <w:numId w:val="7"/>
        </w:numPr>
        <w:spacing w:line="240" w:lineRule="auto"/>
        <w:rPr>
          <w:b/>
          <w:bCs/>
        </w:rPr>
      </w:pPr>
      <w:r>
        <w:rPr>
          <w:b/>
          <w:bCs/>
        </w:rPr>
        <w:t xml:space="preserve">Additional Policies, </w:t>
      </w:r>
      <w:r w:rsidR="006258BA" w:rsidRPr="00B2007B">
        <w:rPr>
          <w:b/>
          <w:bCs/>
        </w:rPr>
        <w:t>Training and Resources to Promote Safe and Inclusive Work Environments</w:t>
      </w:r>
    </w:p>
    <w:p w14:paraId="64BC30B0" w14:textId="69BA4C9C" w:rsidR="00975DE8" w:rsidRPr="00B2007B" w:rsidRDefault="00C64434" w:rsidP="00E37100">
      <w:pPr>
        <w:spacing w:line="240" w:lineRule="auto"/>
      </w:pPr>
      <w:r w:rsidRPr="00B2007B">
        <w:t xml:space="preserve">The University </w:t>
      </w:r>
      <w:r w:rsidR="00624407">
        <w:t>has a</w:t>
      </w:r>
      <w:r w:rsidRPr="00B2007B">
        <w:t xml:space="preserve"> number of </w:t>
      </w:r>
      <w:r w:rsidR="00624407">
        <w:t xml:space="preserve">policies, </w:t>
      </w:r>
      <w:r w:rsidRPr="00B2007B">
        <w:t>trainings and resources for all members of the University community to promote safe and inclusive work environments.  Some of these are highlighted below.  In addition, individual schools and units may have their own, additional resources.</w:t>
      </w:r>
    </w:p>
    <w:p w14:paraId="181F3691" w14:textId="3FCAD1E3" w:rsidR="009537B0" w:rsidRDefault="00CC783A" w:rsidP="00F316F5">
      <w:pPr>
        <w:pStyle w:val="ListParagraph"/>
        <w:numPr>
          <w:ilvl w:val="0"/>
          <w:numId w:val="4"/>
        </w:numPr>
        <w:spacing w:line="240" w:lineRule="auto"/>
      </w:pPr>
      <w:r w:rsidRPr="00B2007B">
        <w:t xml:space="preserve">All Columbia personnel must complete </w:t>
      </w:r>
      <w:hyperlink r:id="rId11" w:history="1">
        <w:r w:rsidRPr="00B2007B">
          <w:rPr>
            <w:rStyle w:val="Hyperlink"/>
          </w:rPr>
          <w:t>New York Anti-Harassment Training</w:t>
        </w:r>
      </w:hyperlink>
      <w:r w:rsidRPr="00B2007B">
        <w:t xml:space="preserve"> annually, including </w:t>
      </w:r>
      <w:r w:rsidR="006258BA" w:rsidRPr="00B2007B">
        <w:t xml:space="preserve">but not limited to </w:t>
      </w:r>
      <w:r w:rsidRPr="00B2007B">
        <w:t>faculty, staff, researchers, contractors and student workers.</w:t>
      </w:r>
      <w:r w:rsidR="00F316F5">
        <w:br/>
      </w:r>
    </w:p>
    <w:p w14:paraId="08FB6B2A" w14:textId="6EC3D6B7" w:rsidR="00FB2B0E" w:rsidRDefault="00FB2B0E" w:rsidP="009537B0">
      <w:pPr>
        <w:pStyle w:val="ListParagraph"/>
        <w:numPr>
          <w:ilvl w:val="0"/>
          <w:numId w:val="4"/>
        </w:numPr>
        <w:spacing w:line="240" w:lineRule="auto"/>
        <w:rPr>
          <w:rStyle w:val="Hyperlink"/>
          <w:color w:val="auto"/>
          <w:u w:val="none"/>
        </w:rPr>
      </w:pPr>
      <w:r>
        <w:rPr>
          <w:rStyle w:val="Hyperlink"/>
          <w:color w:val="auto"/>
          <w:u w:val="none"/>
        </w:rPr>
        <w:t xml:space="preserve">Columbia’s </w:t>
      </w:r>
      <w:hyperlink r:id="rId12" w:history="1">
        <w:r w:rsidRPr="00FB2B0E">
          <w:rPr>
            <w:rStyle w:val="Hyperlink"/>
          </w:rPr>
          <w:t>Policies on Romantic and Sexual Relationships</w:t>
        </w:r>
      </w:hyperlink>
      <w:r>
        <w:rPr>
          <w:rStyle w:val="Hyperlink"/>
          <w:color w:val="auto"/>
          <w:u w:val="none"/>
        </w:rPr>
        <w:t xml:space="preserve"> prohibit such relationships between faculty or other supervisory personnel and any undergraduate student, as well as, in </w:t>
      </w:r>
      <w:r w:rsidR="003C4034">
        <w:rPr>
          <w:rStyle w:val="Hyperlink"/>
          <w:color w:val="auto"/>
          <w:u w:val="none"/>
        </w:rPr>
        <w:t>many</w:t>
      </w:r>
      <w:r>
        <w:rPr>
          <w:rStyle w:val="Hyperlink"/>
          <w:color w:val="auto"/>
          <w:u w:val="none"/>
        </w:rPr>
        <w:t xml:space="preserve"> circumstances, between faculty or other supervisory personnel and graduate students</w:t>
      </w:r>
      <w:r w:rsidR="00F316F5">
        <w:rPr>
          <w:rStyle w:val="Hyperlink"/>
          <w:color w:val="auto"/>
          <w:u w:val="none"/>
        </w:rPr>
        <w:t>.</w:t>
      </w:r>
    </w:p>
    <w:p w14:paraId="2CCC903E" w14:textId="77777777" w:rsidR="00F316F5" w:rsidRDefault="00F316F5" w:rsidP="00F316F5">
      <w:pPr>
        <w:pStyle w:val="ListParagraph"/>
        <w:spacing w:line="240" w:lineRule="auto"/>
        <w:rPr>
          <w:rStyle w:val="Hyperlink"/>
          <w:color w:val="auto"/>
          <w:u w:val="none"/>
        </w:rPr>
      </w:pPr>
    </w:p>
    <w:p w14:paraId="2EC735A2" w14:textId="16E43630" w:rsidR="00F316F5" w:rsidRPr="00F316F5" w:rsidRDefault="00F316F5" w:rsidP="00F316F5">
      <w:pPr>
        <w:pStyle w:val="ListParagraph"/>
        <w:numPr>
          <w:ilvl w:val="0"/>
          <w:numId w:val="4"/>
        </w:numPr>
        <w:spacing w:line="240" w:lineRule="auto"/>
        <w:rPr>
          <w:rStyle w:val="Hyperlink"/>
          <w:color w:val="auto"/>
          <w:u w:val="none"/>
        </w:rPr>
      </w:pPr>
      <w:r w:rsidRPr="00B2007B">
        <w:t xml:space="preserve">EOAA offers a </w:t>
      </w:r>
      <w:hyperlink r:id="rId13" w:history="1">
        <w:r w:rsidRPr="00B2007B">
          <w:rPr>
            <w:rStyle w:val="Hyperlink"/>
          </w:rPr>
          <w:t>briefing</w:t>
        </w:r>
      </w:hyperlink>
      <w:r w:rsidRPr="00B2007B">
        <w:t xml:space="preserve"> for Columbia faculty and researchers concerning student resources, policies and Title IX.  This briefing is in addition to the anti-harassment </w:t>
      </w:r>
      <w:r w:rsidRPr="00B2007B">
        <w:lastRenderedPageBreak/>
        <w:t xml:space="preserve">training referenced above, and is required for all full-time and part-time officers of instruction and research. </w:t>
      </w:r>
      <w:r>
        <w:rPr>
          <w:b/>
          <w:bCs/>
        </w:rPr>
        <w:t xml:space="preserve"> </w:t>
      </w:r>
    </w:p>
    <w:p w14:paraId="304AED78" w14:textId="77777777" w:rsidR="00FB2B0E" w:rsidRPr="00FB2B0E" w:rsidRDefault="00FB2B0E" w:rsidP="00FB2B0E">
      <w:pPr>
        <w:pStyle w:val="ListParagraph"/>
        <w:rPr>
          <w:rStyle w:val="Hyperlink"/>
          <w:color w:val="auto"/>
          <w:u w:val="none"/>
        </w:rPr>
      </w:pPr>
    </w:p>
    <w:p w14:paraId="26570B98" w14:textId="491A1744" w:rsidR="009537B0" w:rsidRDefault="009537B0" w:rsidP="009537B0">
      <w:pPr>
        <w:pStyle w:val="ListParagraph"/>
        <w:numPr>
          <w:ilvl w:val="0"/>
          <w:numId w:val="4"/>
        </w:numPr>
        <w:spacing w:line="240" w:lineRule="auto"/>
      </w:pPr>
      <w:r>
        <w:rPr>
          <w:rStyle w:val="Hyperlink"/>
          <w:color w:val="auto"/>
          <w:u w:val="none"/>
        </w:rPr>
        <w:t xml:space="preserve">Columbia’s </w:t>
      </w:r>
      <w:hyperlink r:id="rId14" w:history="1">
        <w:r w:rsidRPr="00E37100">
          <w:rPr>
            <w:rStyle w:val="Hyperlink"/>
          </w:rPr>
          <w:t>Statement of Ethical Conduct</w:t>
        </w:r>
      </w:hyperlink>
      <w:r>
        <w:rPr>
          <w:rStyle w:val="Hyperlink"/>
          <w:color w:val="auto"/>
          <w:u w:val="none"/>
        </w:rPr>
        <w:t xml:space="preserve"> </w:t>
      </w:r>
      <w:r w:rsidRPr="00E37100">
        <w:t>expects all officers of instruction, research, libraries, athletics, and administration; support staff; and students to maintain the highest standards of ethical conduct.</w:t>
      </w:r>
    </w:p>
    <w:p w14:paraId="746496EA" w14:textId="77777777" w:rsidR="009537B0" w:rsidRDefault="009537B0" w:rsidP="009537B0">
      <w:pPr>
        <w:pStyle w:val="ListParagraph"/>
        <w:spacing w:line="240" w:lineRule="auto"/>
      </w:pPr>
    </w:p>
    <w:p w14:paraId="51FE80E6" w14:textId="77777777" w:rsidR="009537B0" w:rsidRDefault="009537B0" w:rsidP="009537B0">
      <w:pPr>
        <w:pStyle w:val="ListParagraph"/>
        <w:numPr>
          <w:ilvl w:val="0"/>
          <w:numId w:val="4"/>
        </w:numPr>
        <w:spacing w:line="240" w:lineRule="auto"/>
      </w:pPr>
      <w:r>
        <w:t xml:space="preserve">Columbia’s </w:t>
      </w:r>
      <w:hyperlink r:id="rId15" w:history="1">
        <w:r w:rsidRPr="009537B0">
          <w:rPr>
            <w:rStyle w:val="Hyperlink"/>
          </w:rPr>
          <w:t>Institutional Policy on Misconduct in Research</w:t>
        </w:r>
      </w:hyperlink>
      <w:r>
        <w:t xml:space="preserve"> governs allegations of falsification, fabrication or plagiarism in research.</w:t>
      </w:r>
    </w:p>
    <w:p w14:paraId="2BA3D4FE" w14:textId="77777777" w:rsidR="009537B0" w:rsidRDefault="009537B0" w:rsidP="009537B0">
      <w:pPr>
        <w:pStyle w:val="ListParagraph"/>
      </w:pPr>
    </w:p>
    <w:p w14:paraId="6C732354" w14:textId="308B5E7B" w:rsidR="009537B0" w:rsidRPr="00B2007B" w:rsidRDefault="009537B0" w:rsidP="009537B0">
      <w:pPr>
        <w:pStyle w:val="ListParagraph"/>
        <w:numPr>
          <w:ilvl w:val="0"/>
          <w:numId w:val="4"/>
        </w:numPr>
        <w:spacing w:line="240" w:lineRule="auto"/>
      </w:pPr>
      <w:r>
        <w:t xml:space="preserve">Columbia’s </w:t>
      </w:r>
      <w:hyperlink r:id="rId16" w:history="1">
        <w:r w:rsidRPr="009537B0">
          <w:rPr>
            <w:rStyle w:val="Hyperlink"/>
          </w:rPr>
          <w:t>Policy on Non-Retaliation</w:t>
        </w:r>
      </w:hyperlink>
      <w:r>
        <w:t xml:space="preserve"> prohibits retaliation against </w:t>
      </w:r>
      <w:r w:rsidRPr="009537B0">
        <w:t>those who report or seek guidance on ethical or compliance issues.</w:t>
      </w:r>
    </w:p>
    <w:p w14:paraId="6C7787FC" w14:textId="77777777" w:rsidR="00444F29" w:rsidRPr="00B2007B" w:rsidRDefault="00444F29" w:rsidP="00E37100">
      <w:pPr>
        <w:pStyle w:val="ListParagraph"/>
        <w:spacing w:line="240" w:lineRule="auto"/>
      </w:pPr>
    </w:p>
    <w:p w14:paraId="39B2C3C8" w14:textId="72834D69" w:rsidR="00EA279C" w:rsidRDefault="00444F29" w:rsidP="009C0695">
      <w:pPr>
        <w:pStyle w:val="ListParagraph"/>
        <w:numPr>
          <w:ilvl w:val="0"/>
          <w:numId w:val="4"/>
        </w:numPr>
        <w:spacing w:line="240" w:lineRule="auto"/>
      </w:pPr>
      <w:r w:rsidRPr="00B2007B">
        <w:t xml:space="preserve">EOAA publishes a list of </w:t>
      </w:r>
      <w:hyperlink r:id="rId17" w:history="1">
        <w:r w:rsidRPr="00B2007B">
          <w:rPr>
            <w:rStyle w:val="Hyperlink"/>
          </w:rPr>
          <w:t>points of contact</w:t>
        </w:r>
      </w:hyperlink>
      <w:r w:rsidRPr="00B2007B">
        <w:t>, including community and confidential resources</w:t>
      </w:r>
      <w:r w:rsidR="009C0695">
        <w:t>.</w:t>
      </w:r>
    </w:p>
    <w:p w14:paraId="1A0DA514" w14:textId="77777777" w:rsidR="00EA279C" w:rsidRDefault="00EA279C" w:rsidP="00EA279C">
      <w:pPr>
        <w:pStyle w:val="ListParagraph"/>
      </w:pPr>
    </w:p>
    <w:p w14:paraId="229D1D5D" w14:textId="2DBFFF52" w:rsidR="00975DE8" w:rsidRPr="00B2007B" w:rsidRDefault="00975DE8" w:rsidP="00E37100">
      <w:pPr>
        <w:pStyle w:val="ListParagraph"/>
        <w:numPr>
          <w:ilvl w:val="0"/>
          <w:numId w:val="4"/>
        </w:numPr>
        <w:spacing w:line="240" w:lineRule="auto"/>
      </w:pPr>
      <w:r w:rsidRPr="00B2007B">
        <w:t xml:space="preserve">The </w:t>
      </w:r>
      <w:hyperlink r:id="rId18" w:history="1">
        <w:r w:rsidRPr="00B2007B">
          <w:rPr>
            <w:rStyle w:val="Hyperlink"/>
          </w:rPr>
          <w:t>Office of University Life</w:t>
        </w:r>
      </w:hyperlink>
      <w:r w:rsidRPr="00B2007B">
        <w:t xml:space="preserve"> offers resources regarding </w:t>
      </w:r>
      <w:r w:rsidR="00444F29" w:rsidRPr="00B2007B">
        <w:t>i</w:t>
      </w:r>
      <w:r w:rsidRPr="00B2007B">
        <w:t xml:space="preserve">nclusion and </w:t>
      </w:r>
      <w:r w:rsidR="00444F29" w:rsidRPr="00B2007B">
        <w:t>b</w:t>
      </w:r>
      <w:r w:rsidRPr="00B2007B">
        <w:t>elonging, including, for example:</w:t>
      </w:r>
    </w:p>
    <w:p w14:paraId="7633219B" w14:textId="1DAC4C20" w:rsidR="00975DE8" w:rsidRPr="00B2007B" w:rsidRDefault="00000000" w:rsidP="00E37100">
      <w:pPr>
        <w:pStyle w:val="ListParagraph"/>
        <w:numPr>
          <w:ilvl w:val="1"/>
          <w:numId w:val="4"/>
        </w:numPr>
        <w:spacing w:line="240" w:lineRule="auto"/>
      </w:pPr>
      <w:hyperlink r:id="rId19" w:history="1">
        <w:r w:rsidR="00975DE8" w:rsidRPr="00B2007B">
          <w:rPr>
            <w:rStyle w:val="Hyperlink"/>
          </w:rPr>
          <w:t>Columbia’s Commitment to Antiracism</w:t>
        </w:r>
      </w:hyperlink>
      <w:r w:rsidR="00975DE8" w:rsidRPr="00B2007B">
        <w:t xml:space="preserve">  </w:t>
      </w:r>
    </w:p>
    <w:p w14:paraId="75F12CA2" w14:textId="3635F2A7" w:rsidR="00975DE8" w:rsidRPr="00590C15" w:rsidRDefault="00000000" w:rsidP="00E37100">
      <w:pPr>
        <w:pStyle w:val="ListParagraph"/>
        <w:numPr>
          <w:ilvl w:val="1"/>
          <w:numId w:val="4"/>
        </w:numPr>
        <w:spacing w:line="240" w:lineRule="auto"/>
        <w:rPr>
          <w:rStyle w:val="Hyperlink"/>
          <w:color w:val="auto"/>
          <w:u w:val="none"/>
        </w:rPr>
      </w:pPr>
      <w:hyperlink r:id="rId20" w:history="1">
        <w:r w:rsidR="00975DE8" w:rsidRPr="00B2007B">
          <w:rPr>
            <w:rStyle w:val="Hyperlink"/>
          </w:rPr>
          <w:t>Resources for Promoting Social Justice and Combating Bias</w:t>
        </w:r>
      </w:hyperlink>
    </w:p>
    <w:p w14:paraId="4EAAB8F9" w14:textId="77777777" w:rsidR="00590C15" w:rsidRPr="00E22106" w:rsidRDefault="00590C15" w:rsidP="00590C15">
      <w:pPr>
        <w:pStyle w:val="ListParagraph"/>
        <w:spacing w:line="240" w:lineRule="auto"/>
        <w:ind w:left="1440"/>
        <w:rPr>
          <w:rStyle w:val="Hyperlink"/>
          <w:color w:val="auto"/>
          <w:u w:val="none"/>
        </w:rPr>
      </w:pPr>
    </w:p>
    <w:p w14:paraId="28E88B5E" w14:textId="13106CC1" w:rsidR="00E22106" w:rsidRPr="0024732E" w:rsidRDefault="00E22106" w:rsidP="00E22106">
      <w:pPr>
        <w:pStyle w:val="ListParagraph"/>
        <w:numPr>
          <w:ilvl w:val="0"/>
          <w:numId w:val="4"/>
        </w:numPr>
        <w:spacing w:line="240" w:lineRule="auto"/>
        <w:rPr>
          <w:rStyle w:val="Hyperlink"/>
          <w:color w:val="auto"/>
          <w:u w:val="none"/>
        </w:rPr>
      </w:pPr>
      <w:r w:rsidRPr="00E22106">
        <w:t>The</w:t>
      </w:r>
      <w:r>
        <w:rPr>
          <w:rStyle w:val="Hyperlink"/>
        </w:rPr>
        <w:t xml:space="preserve"> </w:t>
      </w:r>
      <w:hyperlink r:id="rId21" w:history="1">
        <w:r w:rsidRPr="00E22106">
          <w:rPr>
            <w:rStyle w:val="Hyperlink"/>
          </w:rPr>
          <w:t>Office of Postdoctoral Affairs</w:t>
        </w:r>
      </w:hyperlink>
      <w:r w:rsidRPr="00E22106">
        <w:t xml:space="preserve"> offers resources for postdocs, including postdoc career development and wellness resources.  </w:t>
      </w:r>
      <w:r w:rsidR="00ED2123">
        <w:rPr>
          <w:b/>
          <w:bCs/>
        </w:rPr>
        <w:t xml:space="preserve"> </w:t>
      </w:r>
    </w:p>
    <w:p w14:paraId="69C68205" w14:textId="77777777" w:rsidR="00E37100" w:rsidRPr="00567491" w:rsidRDefault="00E37100" w:rsidP="00E37100">
      <w:pPr>
        <w:pStyle w:val="ListParagraph"/>
        <w:spacing w:line="240" w:lineRule="auto"/>
        <w:ind w:left="1440"/>
        <w:rPr>
          <w:rStyle w:val="Hyperlink"/>
          <w:color w:val="auto"/>
          <w:u w:val="none"/>
        </w:rPr>
      </w:pPr>
    </w:p>
    <w:p w14:paraId="0213ABEC" w14:textId="47B7238C" w:rsidR="002C3EDF" w:rsidRDefault="002C3EDF" w:rsidP="00E37100">
      <w:pPr>
        <w:pStyle w:val="ListParagraph"/>
        <w:spacing w:line="240" w:lineRule="auto"/>
        <w:ind w:left="1440"/>
      </w:pPr>
    </w:p>
    <w:p w14:paraId="1FBD598B" w14:textId="70D9E4C4" w:rsidR="006258BA" w:rsidRPr="001C091B" w:rsidRDefault="00567491" w:rsidP="003533FB">
      <w:pPr>
        <w:pStyle w:val="ListParagraph"/>
        <w:numPr>
          <w:ilvl w:val="0"/>
          <w:numId w:val="7"/>
        </w:numPr>
        <w:spacing w:line="240" w:lineRule="auto"/>
      </w:pPr>
      <w:r w:rsidRPr="00B2007B">
        <w:rPr>
          <w:b/>
          <w:bCs/>
        </w:rPr>
        <w:t xml:space="preserve"> </w:t>
      </w:r>
      <w:r w:rsidR="00E37100">
        <w:rPr>
          <w:b/>
          <w:bCs/>
        </w:rPr>
        <w:t xml:space="preserve">Applicable </w:t>
      </w:r>
      <w:r w:rsidR="00F73122" w:rsidRPr="00B2007B">
        <w:rPr>
          <w:b/>
          <w:bCs/>
        </w:rPr>
        <w:t>School- or Unit-specific Resources</w:t>
      </w:r>
      <w:r w:rsidR="00462DF3">
        <w:rPr>
          <w:b/>
          <w:bCs/>
        </w:rPr>
        <w:t>, if any</w:t>
      </w:r>
      <w:r w:rsidR="006D6555">
        <w:rPr>
          <w:b/>
          <w:bCs/>
        </w:rPr>
        <w:t xml:space="preserve">, </w:t>
      </w:r>
      <w:r w:rsidR="006D6555" w:rsidRPr="001C091B">
        <w:t xml:space="preserve">including the </w:t>
      </w:r>
      <w:hyperlink r:id="rId22" w:history="1">
        <w:r w:rsidR="006D6555" w:rsidRPr="001C091B">
          <w:rPr>
            <w:rStyle w:val="Hyperlink"/>
          </w:rPr>
          <w:t>Lamont Code of Conduct</w:t>
        </w:r>
      </w:hyperlink>
      <w:r w:rsidR="006D6555" w:rsidRPr="001C091B">
        <w:t>, for Lamont</w:t>
      </w:r>
      <w:r w:rsidR="001C091B">
        <w:t>-Doherty Earth Observatory projects</w:t>
      </w:r>
    </w:p>
    <w:sectPr w:rsidR="006258BA" w:rsidRPr="001C091B" w:rsidSect="003445C7">
      <w:headerReference w:type="default" r:id="rId23"/>
      <w:footerReference w:type="even" r:id="rId24"/>
      <w:footerReference w:type="default" r:id="rId25"/>
      <w:headerReference w:type="first" r:id="rId26"/>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3FDB1" w14:textId="77777777" w:rsidR="00947B1D" w:rsidRDefault="00947B1D" w:rsidP="0068056D">
      <w:pPr>
        <w:spacing w:after="0" w:line="240" w:lineRule="auto"/>
      </w:pPr>
      <w:r>
        <w:separator/>
      </w:r>
    </w:p>
  </w:endnote>
  <w:endnote w:type="continuationSeparator" w:id="0">
    <w:p w14:paraId="69FE9647" w14:textId="77777777" w:rsidR="00947B1D" w:rsidRDefault="00947B1D" w:rsidP="0068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4848651"/>
      <w:docPartObj>
        <w:docPartGallery w:val="Page Numbers (Bottom of Page)"/>
        <w:docPartUnique/>
      </w:docPartObj>
    </w:sdtPr>
    <w:sdtContent>
      <w:p w14:paraId="33807443" w14:textId="25F8A9B5" w:rsidR="003445C7" w:rsidRDefault="003445C7" w:rsidP="007701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D75262" w14:textId="77777777" w:rsidR="003445C7" w:rsidRDefault="003445C7" w:rsidP="003445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106646"/>
      <w:docPartObj>
        <w:docPartGallery w:val="Page Numbers (Bottom of Page)"/>
        <w:docPartUnique/>
      </w:docPartObj>
    </w:sdtPr>
    <w:sdtContent>
      <w:p w14:paraId="6B88C0FE" w14:textId="523D877C" w:rsidR="003445C7" w:rsidRDefault="003445C7" w:rsidP="007701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5CC1EE" w14:textId="77777777" w:rsidR="003445C7" w:rsidRDefault="003445C7" w:rsidP="003445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0673" w14:textId="77777777" w:rsidR="00947B1D" w:rsidRDefault="00947B1D" w:rsidP="0068056D">
      <w:pPr>
        <w:spacing w:after="0" w:line="240" w:lineRule="auto"/>
      </w:pPr>
      <w:r>
        <w:separator/>
      </w:r>
    </w:p>
  </w:footnote>
  <w:footnote w:type="continuationSeparator" w:id="0">
    <w:p w14:paraId="2506D612" w14:textId="77777777" w:rsidR="00947B1D" w:rsidRDefault="00947B1D" w:rsidP="0068056D">
      <w:pPr>
        <w:spacing w:after="0" w:line="240" w:lineRule="auto"/>
      </w:pPr>
      <w:r>
        <w:continuationSeparator/>
      </w:r>
    </w:p>
  </w:footnote>
  <w:footnote w:id="1">
    <w:p w14:paraId="59A41DDA" w14:textId="51C60709" w:rsidR="00462DF3" w:rsidRDefault="00462DF3">
      <w:pPr>
        <w:pStyle w:val="FootnoteText"/>
      </w:pPr>
      <w:r>
        <w:rPr>
          <w:rStyle w:val="FootnoteReference"/>
        </w:rPr>
        <w:footnoteRef/>
      </w:r>
      <w:r>
        <w:t>Section 1 is based on a template created by University of Minnesota</w:t>
      </w:r>
      <w:r w:rsidR="0024732E">
        <w:t xml:space="preserve"> and is included </w:t>
      </w:r>
      <w:r>
        <w:t xml:space="preserve">with its permission. </w:t>
      </w:r>
    </w:p>
  </w:footnote>
  <w:footnote w:id="2">
    <w:p w14:paraId="1A4B03EB" w14:textId="4308A1FA" w:rsidR="00770FD5" w:rsidRPr="00770FD5" w:rsidRDefault="00770FD5" w:rsidP="00770FD5">
      <w:pPr>
        <w:pStyle w:val="BodyText"/>
        <w:ind w:left="109" w:right="181"/>
        <w:rPr>
          <w:sz w:val="20"/>
          <w:szCs w:val="20"/>
        </w:rPr>
      </w:pPr>
      <w:r>
        <w:rPr>
          <w:rStyle w:val="FootnoteReference"/>
        </w:rPr>
        <w:footnoteRef/>
      </w:r>
      <w:r>
        <w:t xml:space="preserve"> </w:t>
      </w:r>
      <w:r w:rsidRPr="00770FD5">
        <w:rPr>
          <w:sz w:val="20"/>
          <w:szCs w:val="20"/>
        </w:rPr>
        <w:t>These include: Titles VI and VII of the Civil Rights Act of 1964; Title IX of the Education Amendments Act of 1972; relevant sections of the Violence Against Women Reauthorization Act; the Americans with Disabilities Act of 1990, Section 504 of the Rehabilitation Act of 1973, the Age Discrimination in Employment Act of 1967, New York State Education and Human Rights Laws, and New York City laws that prohibit discrimination on the basis of certain enumerated categories.</w:t>
      </w:r>
    </w:p>
    <w:p w14:paraId="78243A93" w14:textId="4AE2037F" w:rsidR="00770FD5" w:rsidRPr="00770FD5" w:rsidRDefault="00770FD5" w:rsidP="00770FD5">
      <w:pPr>
        <w:pStyle w:val="FootnoteText"/>
        <w:rPr>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087" w14:textId="206BA668" w:rsidR="0068056D" w:rsidRPr="0068056D" w:rsidRDefault="0068056D">
    <w:pPr>
      <w:pStyle w:val="Header"/>
      <w:rPr>
        <w:b/>
        <w:bCs/>
      </w:rPr>
    </w:pPr>
    <w:r>
      <w:rPr>
        <w:b/>
        <w:bCs/>
      </w:rPr>
      <w:t>1.</w:t>
    </w:r>
    <w:r w:rsidR="005D67FC">
      <w:rPr>
        <w:b/>
        <w:bCs/>
      </w:rPr>
      <w:t>2</w:t>
    </w:r>
    <w:r w:rsidR="000224D2">
      <w:rPr>
        <w:b/>
        <w:bCs/>
      </w:rPr>
      <w:t>7</w:t>
    </w:r>
    <w:r>
      <w:rPr>
        <w:b/>
        <w:bCs/>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C7B0" w14:textId="75805452" w:rsidR="003445C7" w:rsidRPr="003445C7" w:rsidRDefault="003445C7">
    <w:pPr>
      <w:pStyle w:val="Header"/>
      <w:rPr>
        <w:b/>
        <w:bCs/>
      </w:rPr>
    </w:pPr>
    <w:r>
      <w:rPr>
        <w:b/>
        <w:bCs/>
      </w:rPr>
      <w:t>1.</w:t>
    </w:r>
    <w:r w:rsidR="005D67FC">
      <w:rPr>
        <w:b/>
        <w:bCs/>
      </w:rPr>
      <w:t>2</w:t>
    </w:r>
    <w:r w:rsidR="000224D2">
      <w:rPr>
        <w:b/>
        <w:bCs/>
      </w:rPr>
      <w:t>7</w:t>
    </w:r>
    <w:r>
      <w:rPr>
        <w:b/>
        <w:bC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E2F76"/>
    <w:multiLevelType w:val="hybridMultilevel"/>
    <w:tmpl w:val="AB9E6B9A"/>
    <w:lvl w:ilvl="0" w:tplc="7E10CC30">
      <w:start w:val="1"/>
      <w:numFmt w:val="decimal"/>
      <w:lvlText w:val="%1."/>
      <w:lvlJc w:val="left"/>
      <w:pPr>
        <w:ind w:left="469" w:hanging="360"/>
      </w:pPr>
      <w:rPr>
        <w:rFonts w:hint="default"/>
        <w:b/>
        <w:bCs/>
        <w:u w:val="none"/>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1" w15:restartNumberingAfterBreak="0">
    <w:nsid w:val="29FB4B28"/>
    <w:multiLevelType w:val="hybridMultilevel"/>
    <w:tmpl w:val="5F2EBAF6"/>
    <w:lvl w:ilvl="0" w:tplc="D24C5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414EA"/>
    <w:multiLevelType w:val="hybridMultilevel"/>
    <w:tmpl w:val="3830E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4B184"/>
    <w:multiLevelType w:val="hybridMultilevel"/>
    <w:tmpl w:val="1A905E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50342F4"/>
    <w:multiLevelType w:val="hybridMultilevel"/>
    <w:tmpl w:val="3662C07C"/>
    <w:lvl w:ilvl="0" w:tplc="EDE6583E">
      <w:start w:val="1"/>
      <w:numFmt w:val="decimal"/>
      <w:lvlText w:val="%1."/>
      <w:lvlJc w:val="left"/>
      <w:pPr>
        <w:ind w:left="469" w:hanging="360"/>
      </w:pPr>
      <w:rPr>
        <w:rFonts w:hint="default"/>
        <w:b/>
        <w:bCs/>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5" w15:restartNumberingAfterBreak="0">
    <w:nsid w:val="76237762"/>
    <w:multiLevelType w:val="hybridMultilevel"/>
    <w:tmpl w:val="9CC256E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15:restartNumberingAfterBreak="0">
    <w:nsid w:val="796D20C1"/>
    <w:multiLevelType w:val="hybridMultilevel"/>
    <w:tmpl w:val="70002642"/>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num w:numId="1" w16cid:durableId="1936983541">
    <w:abstractNumId w:val="6"/>
  </w:num>
  <w:num w:numId="2" w16cid:durableId="384187747">
    <w:abstractNumId w:val="4"/>
  </w:num>
  <w:num w:numId="3" w16cid:durableId="1080249242">
    <w:abstractNumId w:val="3"/>
  </w:num>
  <w:num w:numId="4" w16cid:durableId="174267655">
    <w:abstractNumId w:val="2"/>
  </w:num>
  <w:num w:numId="5" w16cid:durableId="1194148619">
    <w:abstractNumId w:val="1"/>
  </w:num>
  <w:num w:numId="6" w16cid:durableId="1859267935">
    <w:abstractNumId w:val="5"/>
  </w:num>
  <w:num w:numId="7" w16cid:durableId="38491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6D"/>
    <w:rsid w:val="0000247A"/>
    <w:rsid w:val="0002219E"/>
    <w:rsid w:val="000224D2"/>
    <w:rsid w:val="000D60D2"/>
    <w:rsid w:val="001B74EC"/>
    <w:rsid w:val="001C091B"/>
    <w:rsid w:val="001F45B8"/>
    <w:rsid w:val="00244421"/>
    <w:rsid w:val="0024732E"/>
    <w:rsid w:val="00266295"/>
    <w:rsid w:val="00271C9E"/>
    <w:rsid w:val="002825C5"/>
    <w:rsid w:val="002C3EDF"/>
    <w:rsid w:val="0031007E"/>
    <w:rsid w:val="00341040"/>
    <w:rsid w:val="003445C7"/>
    <w:rsid w:val="003533FB"/>
    <w:rsid w:val="00372D58"/>
    <w:rsid w:val="003C4034"/>
    <w:rsid w:val="00444F29"/>
    <w:rsid w:val="00462DF3"/>
    <w:rsid w:val="004F73BF"/>
    <w:rsid w:val="00567491"/>
    <w:rsid w:val="00590C15"/>
    <w:rsid w:val="005C0045"/>
    <w:rsid w:val="005C3B43"/>
    <w:rsid w:val="005D67FC"/>
    <w:rsid w:val="005F160B"/>
    <w:rsid w:val="005F3DC9"/>
    <w:rsid w:val="00604A69"/>
    <w:rsid w:val="00610247"/>
    <w:rsid w:val="006223D1"/>
    <w:rsid w:val="00624407"/>
    <w:rsid w:val="006258BA"/>
    <w:rsid w:val="00670AB3"/>
    <w:rsid w:val="0068056D"/>
    <w:rsid w:val="006D6555"/>
    <w:rsid w:val="00732145"/>
    <w:rsid w:val="00770FD5"/>
    <w:rsid w:val="007906B0"/>
    <w:rsid w:val="007932AA"/>
    <w:rsid w:val="007A6B8F"/>
    <w:rsid w:val="007A7DB7"/>
    <w:rsid w:val="00821625"/>
    <w:rsid w:val="008C6E91"/>
    <w:rsid w:val="00947B1D"/>
    <w:rsid w:val="009537B0"/>
    <w:rsid w:val="00974146"/>
    <w:rsid w:val="00975DE8"/>
    <w:rsid w:val="009A5FBB"/>
    <w:rsid w:val="009C0695"/>
    <w:rsid w:val="00AC07D3"/>
    <w:rsid w:val="00B2007B"/>
    <w:rsid w:val="00B5792A"/>
    <w:rsid w:val="00C17EED"/>
    <w:rsid w:val="00C64434"/>
    <w:rsid w:val="00C82870"/>
    <w:rsid w:val="00C924FE"/>
    <w:rsid w:val="00CB49BE"/>
    <w:rsid w:val="00CC783A"/>
    <w:rsid w:val="00D25D99"/>
    <w:rsid w:val="00D74325"/>
    <w:rsid w:val="00D87753"/>
    <w:rsid w:val="00E14929"/>
    <w:rsid w:val="00E22106"/>
    <w:rsid w:val="00E37100"/>
    <w:rsid w:val="00EA279C"/>
    <w:rsid w:val="00ED2123"/>
    <w:rsid w:val="00EE6C26"/>
    <w:rsid w:val="00F0317B"/>
    <w:rsid w:val="00F21FBC"/>
    <w:rsid w:val="00F316F5"/>
    <w:rsid w:val="00F419A8"/>
    <w:rsid w:val="00F73122"/>
    <w:rsid w:val="00FB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9B58"/>
  <w15:chartTrackingRefBased/>
  <w15:docId w15:val="{171DAD3A-7CAC-4E90-B114-22450744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56D"/>
  </w:style>
  <w:style w:type="paragraph" w:styleId="Footer">
    <w:name w:val="footer"/>
    <w:basedOn w:val="Normal"/>
    <w:link w:val="FooterChar"/>
    <w:uiPriority w:val="99"/>
    <w:unhideWhenUsed/>
    <w:rsid w:val="00680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56D"/>
  </w:style>
  <w:style w:type="paragraph" w:styleId="BodyText">
    <w:name w:val="Body Text"/>
    <w:basedOn w:val="Normal"/>
    <w:link w:val="BodyTextChar"/>
    <w:uiPriority w:val="1"/>
    <w:qFormat/>
    <w:rsid w:val="0068056D"/>
    <w:pPr>
      <w:widowControl w:val="0"/>
      <w:autoSpaceDE w:val="0"/>
      <w:autoSpaceDN w:val="0"/>
      <w:spacing w:after="0" w:line="240" w:lineRule="auto"/>
    </w:pPr>
    <w:rPr>
      <w:rFonts w:eastAsia="Times New Roman"/>
    </w:rPr>
  </w:style>
  <w:style w:type="character" w:customStyle="1" w:styleId="BodyTextChar">
    <w:name w:val="Body Text Char"/>
    <w:basedOn w:val="DefaultParagraphFont"/>
    <w:link w:val="BodyText"/>
    <w:uiPriority w:val="1"/>
    <w:rsid w:val="0068056D"/>
    <w:rPr>
      <w:rFonts w:eastAsia="Times New Roman"/>
    </w:rPr>
  </w:style>
  <w:style w:type="paragraph" w:customStyle="1" w:styleId="Default">
    <w:name w:val="Default"/>
    <w:rsid w:val="007A7DB7"/>
    <w:pPr>
      <w:autoSpaceDE w:val="0"/>
      <w:autoSpaceDN w:val="0"/>
      <w:adjustRightInd w:val="0"/>
      <w:spacing w:after="0" w:line="240" w:lineRule="auto"/>
    </w:pPr>
    <w:rPr>
      <w:color w:val="000000"/>
    </w:rPr>
  </w:style>
  <w:style w:type="character" w:styleId="Hyperlink">
    <w:name w:val="Hyperlink"/>
    <w:basedOn w:val="DefaultParagraphFont"/>
    <w:uiPriority w:val="99"/>
    <w:unhideWhenUsed/>
    <w:rsid w:val="007A7DB7"/>
    <w:rPr>
      <w:color w:val="0000FF" w:themeColor="hyperlink"/>
      <w:u w:val="single"/>
    </w:rPr>
  </w:style>
  <w:style w:type="character" w:styleId="UnresolvedMention">
    <w:name w:val="Unresolved Mention"/>
    <w:basedOn w:val="DefaultParagraphFont"/>
    <w:uiPriority w:val="99"/>
    <w:semiHidden/>
    <w:unhideWhenUsed/>
    <w:rsid w:val="007A7DB7"/>
    <w:rPr>
      <w:color w:val="605E5C"/>
      <w:shd w:val="clear" w:color="auto" w:fill="E1DFDD"/>
    </w:rPr>
  </w:style>
  <w:style w:type="paragraph" w:styleId="FootnoteText">
    <w:name w:val="footnote text"/>
    <w:basedOn w:val="Normal"/>
    <w:link w:val="FootnoteTextChar"/>
    <w:uiPriority w:val="99"/>
    <w:semiHidden/>
    <w:unhideWhenUsed/>
    <w:rsid w:val="00770F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FD5"/>
    <w:rPr>
      <w:sz w:val="20"/>
      <w:szCs w:val="20"/>
    </w:rPr>
  </w:style>
  <w:style w:type="character" w:styleId="FootnoteReference">
    <w:name w:val="footnote reference"/>
    <w:basedOn w:val="DefaultParagraphFont"/>
    <w:uiPriority w:val="99"/>
    <w:semiHidden/>
    <w:unhideWhenUsed/>
    <w:rsid w:val="00770FD5"/>
    <w:rPr>
      <w:vertAlign w:val="superscript"/>
    </w:rPr>
  </w:style>
  <w:style w:type="character" w:styleId="CommentReference">
    <w:name w:val="annotation reference"/>
    <w:basedOn w:val="DefaultParagraphFont"/>
    <w:uiPriority w:val="99"/>
    <w:semiHidden/>
    <w:unhideWhenUsed/>
    <w:rsid w:val="00244421"/>
    <w:rPr>
      <w:sz w:val="16"/>
      <w:szCs w:val="16"/>
    </w:rPr>
  </w:style>
  <w:style w:type="paragraph" w:styleId="CommentText">
    <w:name w:val="annotation text"/>
    <w:basedOn w:val="Normal"/>
    <w:link w:val="CommentTextChar"/>
    <w:uiPriority w:val="99"/>
    <w:semiHidden/>
    <w:unhideWhenUsed/>
    <w:rsid w:val="00244421"/>
    <w:pPr>
      <w:spacing w:line="240" w:lineRule="auto"/>
    </w:pPr>
    <w:rPr>
      <w:sz w:val="20"/>
      <w:szCs w:val="20"/>
    </w:rPr>
  </w:style>
  <w:style w:type="character" w:customStyle="1" w:styleId="CommentTextChar">
    <w:name w:val="Comment Text Char"/>
    <w:basedOn w:val="DefaultParagraphFont"/>
    <w:link w:val="CommentText"/>
    <w:uiPriority w:val="99"/>
    <w:semiHidden/>
    <w:rsid w:val="00244421"/>
    <w:rPr>
      <w:sz w:val="20"/>
      <w:szCs w:val="20"/>
    </w:rPr>
  </w:style>
  <w:style w:type="paragraph" w:styleId="CommentSubject">
    <w:name w:val="annotation subject"/>
    <w:basedOn w:val="CommentText"/>
    <w:next w:val="CommentText"/>
    <w:link w:val="CommentSubjectChar"/>
    <w:uiPriority w:val="99"/>
    <w:semiHidden/>
    <w:unhideWhenUsed/>
    <w:rsid w:val="00244421"/>
    <w:rPr>
      <w:b/>
      <w:bCs/>
    </w:rPr>
  </w:style>
  <w:style w:type="character" w:customStyle="1" w:styleId="CommentSubjectChar">
    <w:name w:val="Comment Subject Char"/>
    <w:basedOn w:val="CommentTextChar"/>
    <w:link w:val="CommentSubject"/>
    <w:uiPriority w:val="99"/>
    <w:semiHidden/>
    <w:rsid w:val="00244421"/>
    <w:rPr>
      <w:b/>
      <w:bCs/>
      <w:sz w:val="20"/>
      <w:szCs w:val="20"/>
    </w:rPr>
  </w:style>
  <w:style w:type="paragraph" w:styleId="ListParagraph">
    <w:name w:val="List Paragraph"/>
    <w:basedOn w:val="Normal"/>
    <w:uiPriority w:val="34"/>
    <w:qFormat/>
    <w:rsid w:val="00C64434"/>
    <w:pPr>
      <w:ind w:left="720"/>
      <w:contextualSpacing/>
    </w:pPr>
  </w:style>
  <w:style w:type="table" w:styleId="TableGrid">
    <w:name w:val="Table Grid"/>
    <w:basedOn w:val="TableNormal"/>
    <w:uiPriority w:val="39"/>
    <w:rsid w:val="00372D58"/>
    <w:pPr>
      <w:spacing w:after="0" w:line="240" w:lineRule="auto"/>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1625"/>
    <w:rPr>
      <w:color w:val="800080" w:themeColor="followedHyperlink"/>
      <w:u w:val="single"/>
    </w:rPr>
  </w:style>
  <w:style w:type="character" w:styleId="PageNumber">
    <w:name w:val="page number"/>
    <w:basedOn w:val="DefaultParagraphFont"/>
    <w:uiPriority w:val="99"/>
    <w:semiHidden/>
    <w:unhideWhenUsed/>
    <w:rsid w:val="00344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28559">
      <w:bodyDiv w:val="1"/>
      <w:marLeft w:val="0"/>
      <w:marRight w:val="0"/>
      <w:marTop w:val="0"/>
      <w:marBottom w:val="0"/>
      <w:divBdr>
        <w:top w:val="none" w:sz="0" w:space="0" w:color="auto"/>
        <w:left w:val="none" w:sz="0" w:space="0" w:color="auto"/>
        <w:bottom w:val="none" w:sz="0" w:space="0" w:color="auto"/>
        <w:right w:val="none" w:sz="0" w:space="0" w:color="auto"/>
      </w:divBdr>
    </w:div>
    <w:div w:id="1535458853">
      <w:bodyDiv w:val="1"/>
      <w:marLeft w:val="0"/>
      <w:marRight w:val="0"/>
      <w:marTop w:val="0"/>
      <w:marBottom w:val="0"/>
      <w:divBdr>
        <w:top w:val="none" w:sz="0" w:space="0" w:color="auto"/>
        <w:left w:val="none" w:sz="0" w:space="0" w:color="auto"/>
        <w:bottom w:val="none" w:sz="0" w:space="0" w:color="auto"/>
        <w:right w:val="none" w:sz="0" w:space="0" w:color="auto"/>
      </w:divBdr>
    </w:div>
    <w:div w:id="214539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nsf.gov/policies/pappg/23-1/ch-2-proposal-preparation" TargetMode="External"/><Relationship Id="rId13" Type="http://schemas.openxmlformats.org/officeDocument/2006/relationships/hyperlink" Target="https://columbia.sabacloud.com/Saba/Web_spf/NA3P1PRD0112/common/leclassview/dowbt000000000027600" TargetMode="External"/><Relationship Id="rId18" Type="http://schemas.openxmlformats.org/officeDocument/2006/relationships/hyperlink" Target="https://universitylife.columbia.edu/"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research.columbia.edu/office-postdoctoral-affairs" TargetMode="External"/><Relationship Id="rId7" Type="http://schemas.openxmlformats.org/officeDocument/2006/relationships/endnotes" Target="endnotes.xml"/><Relationship Id="rId12" Type="http://schemas.openxmlformats.org/officeDocument/2006/relationships/hyperlink" Target="https://eoaa.columbia.edu/content/romantic-and-sexual-relationships" TargetMode="External"/><Relationship Id="rId17" Type="http://schemas.openxmlformats.org/officeDocument/2006/relationships/hyperlink" Target="https://eoaa.columbia.edu/content/campus-resource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niversitypolicies.columbia.edu/content/columbia-university-non-retaliation-policy" TargetMode="External"/><Relationship Id="rId20" Type="http://schemas.openxmlformats.org/officeDocument/2006/relationships/hyperlink" Target="https://universitylife.columbia.edu/content/promoting-social-justice-combating-bi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oaa.columbia.edu/content/new-york-anti-sexual-harassment-traini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esearch.columbia.edu/research-misconduct"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eoaa.columbia.edu/content/eoaa-policies-and-procedures-1" TargetMode="External"/><Relationship Id="rId19" Type="http://schemas.openxmlformats.org/officeDocument/2006/relationships/hyperlink" Target="https://universitylife.columbia.edu/content/columbias-commitment-anti-racism" TargetMode="External"/><Relationship Id="rId4" Type="http://schemas.openxmlformats.org/officeDocument/2006/relationships/settings" Target="settings.xml"/><Relationship Id="rId9" Type="http://schemas.openxmlformats.org/officeDocument/2006/relationships/hyperlink" Target="mailto:s.j.livingstone@sheffield.ac.uk" TargetMode="External"/><Relationship Id="rId14" Type="http://schemas.openxmlformats.org/officeDocument/2006/relationships/hyperlink" Target="https://universitypolicies.columbia.edu/content/statement-ethical-conduct-and-administrative-code-conduct" TargetMode="External"/><Relationship Id="rId22" Type="http://schemas.openxmlformats.org/officeDocument/2006/relationships/hyperlink" Target="https://diversity.ldeo.columbia.edu/sites/default/files/content/Lamont%20Code%20of%20Conduct%20201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71C5-C9BB-4CF0-9290-950E8A6D5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Columbia Univeristy</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Schrag</dc:creator>
  <cp:keywords/>
  <dc:description/>
  <cp:lastModifiedBy>Jonny Kingslake</cp:lastModifiedBy>
  <cp:revision>2</cp:revision>
  <cp:lastPrinted>2023-01-12T22:49:00Z</cp:lastPrinted>
  <dcterms:created xsi:type="dcterms:W3CDTF">2023-04-24T16:42:00Z</dcterms:created>
  <dcterms:modified xsi:type="dcterms:W3CDTF">2023-04-24T16:42:00Z</dcterms:modified>
</cp:coreProperties>
</file>