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D5B"/>
          <w:sz w:val="40"/>
          <w:szCs w:val="40"/>
        </w:rPr>
        <w:t xml:space="preserve">Momentum</w:t>
      </w:r>
      <w:r>
        <w:rPr>
          <w:b/>
          <w:bCs/>
          <w:color w:val="1A1A1A"/>
          <w:sz w:val="40"/>
          <w:szCs w:val="40"/>
        </w:rPr>
        <w:t xml:space="preserve">  ·  Interview Positioning Brief</w:t>
      </w:r>
    </w:p>
    <w:p>
      <w:pPr>
        <w:pBdr>
          <w:bottom w:val="single" w:color="2E7D5B" w:sz="6" w:space="4"/>
        </w:pBdr>
        <w:spacing w:after="60"/>
      </w:pPr>
      <w:r>
        <w:rPr>
          <w:i/>
          <w:iCs/>
          <w:color w:val="555555"/>
          <w:sz w:val="22"/>
          <w:szCs w:val="22"/>
        </w:rPr>
        <w:t xml:space="preserve">How to talk about the project and the experience in PM interviews</w:t>
      </w:r>
    </w:p>
    <w:p>
      <w:pPr>
        <w:spacing w:after="160"/>
      </w:pPr>
      <w:r>
        <w:rPr>
          <w:color w:val="555555"/>
          <w:sz w:val="18"/>
          <w:szCs w:val="18"/>
        </w:rPr>
        <w:t xml:space="preserve">Prepared for Ben Gibbons  ·  June 2026</w:t>
      </w:r>
    </w:p>
    <w:p>
      <w:pPr>
        <w:pStyle w:val="Heading2"/>
        <w:spacing w:after="120" w:before="260"/>
      </w:pPr>
      <w:r>
        <w:rPr>
          <w:b/>
          <w:bCs/>
          <w:color w:val="2E7D5B"/>
          <w:sz w:val="26"/>
          <w:szCs w:val="26"/>
        </w:rPr>
        <w:t xml:space="preserve">The Two-Sentence Pitch</w:t>
      </w:r>
    </w:p>
    <w:p>
      <w:pPr>
        <w:spacing w:after="100" w:line="264"/>
      </w:pPr>
      <w:r>
        <w:rPr>
          <w:color w:val="555555"/>
          <w:sz w:val="22"/>
          <w:szCs w:val="22"/>
        </w:rPr>
        <w:t xml:space="preserve">Use this as your default opener whenever someone asks “tell me about a product you’ve built.”</w:t>
      </w:r>
    </w:p>
    <w:p>
      <w:pPr>
        <w:spacing w:after="60" w:line="264"/>
      </w:pPr>
      <w:r>
        <w:rPr>
          <w:color w:val="1A1A1A"/>
          <w:sz w:val="22"/>
          <w:szCs w:val="22"/>
        </w:rPr>
        <w:t xml:space="preserve">Momentum is a Windows desktop app that detects when remote knowledge workers lose focus and intervenes in the moment with short, clinically grounded CBT exercises—turning passive time-tracking into active behavior change. </w:t>
      </w:r>
      <w:r>
        <w:rPr>
          <w:b/>
          <w:bCs/>
          <w:color w:val="1A1A1A"/>
          <w:sz w:val="22"/>
          <w:szCs w:val="22"/>
        </w:rPr>
        <w:t xml:space="preserve">I took it end-to-end on my own: problem definition, PRD, a six-version roadmap, the core architecture decisions, a design system, and a working build.</w:t>
      </w:r>
    </w:p>
    <w:p>
      <w:pPr>
        <w:pStyle w:val="Heading2"/>
        <w:spacing w:after="120" w:before="260"/>
      </w:pPr>
      <w:r>
        <w:rPr>
          <w:b/>
          <w:bCs/>
          <w:color w:val="2E7D5B"/>
          <w:sz w:val="26"/>
          <w:szCs w:val="26"/>
        </w:rPr>
        <w:t xml:space="preserve">STAR Origin Story</w:t>
      </w:r>
    </w:p>
    <w:p>
      <w:pPr>
        <w:spacing w:after="120" w:line="264"/>
      </w:pPr>
      <w:r>
        <w:rPr>
          <w:color w:val="555555"/>
          <w:sz w:val="22"/>
          <w:szCs w:val="22"/>
        </w:rPr>
        <w:t xml:space="preserve">A 60–90 second answer for “walk me through a project you’re proud of.” Lead with the insight, not the autobiography.</w:t>
      </w:r>
    </w:p>
    <w:p>
      <w:pPr>
        <w:spacing w:after="120" w:line="264"/>
      </w:pPr>
      <w:r>
        <w:rPr>
          <w:b/>
          <w:bCs/>
          <w:color w:val="2E7D5B"/>
          <w:sz w:val="22"/>
          <w:szCs w:val="22"/>
        </w:rPr>
        <w:t xml:space="preserve">Situation.  </w:t>
      </w:r>
      <w:r>
        <w:rPr>
          <w:color w:val="1A1A1A"/>
          <w:sz w:val="22"/>
          <w:szCs w:val="22"/>
        </w:rPr>
        <w:t xml:space="preserve">Productivity tools for remote and focus-challenged workers are passive—trackers report what happened, blockers wall sites off—but nothing intervenes at the moment attention slips. And almost none treat procrastination as what the research says it actually is: an emotional-regulation problem, not a time-management one.</w:t>
      </w:r>
    </w:p>
    <w:p>
      <w:pPr>
        <w:spacing w:after="120" w:line="264"/>
      </w:pPr>
      <w:r>
        <w:rPr>
          <w:b/>
          <w:bCs/>
          <w:color w:val="2E7D5B"/>
          <w:sz w:val="22"/>
          <w:szCs w:val="22"/>
        </w:rPr>
        <w:t xml:space="preserve">Task.  </w:t>
      </w:r>
      <w:r>
        <w:rPr>
          <w:color w:val="1A1A1A"/>
          <w:sz w:val="22"/>
          <w:szCs w:val="22"/>
        </w:rPr>
        <w:t xml:space="preserve">I wanted to prove I could own a product end-to-end—not just support one as a field engineer—by taking a real, underserved problem from insight to a shipping Windows app.</w:t>
      </w:r>
    </w:p>
    <w:p>
      <w:pPr>
        <w:spacing w:after="120" w:line="264"/>
      </w:pPr>
      <w:r>
        <w:rPr>
          <w:b/>
          <w:bCs/>
          <w:color w:val="2E7D5B"/>
          <w:sz w:val="22"/>
          <w:szCs w:val="22"/>
        </w:rPr>
        <w:t xml:space="preserve">Action.  </w:t>
      </w:r>
      <w:r>
        <w:rPr>
          <w:color w:val="1A1A1A"/>
          <w:sz w:val="22"/>
          <w:szCs w:val="22"/>
        </w:rPr>
        <w:t xml:space="preserve">I validated the problem across my own remote work, peers, and a family member writing from home; wrote the PRD and a V1–V6 roadmap; made and documented the core architecture call (Electron plus a Python UI-Automation sidecar) as an ADR; designed a token-based design system and a low-friction UX that reveals one step at a time to fight overwhelm; and built the monitoring loop, local SQLite storage, and the full UI.</w:t>
      </w:r>
    </w:p>
    <w:p>
      <w:pPr>
        <w:spacing w:after="60" w:line="264"/>
      </w:pPr>
      <w:r>
        <w:rPr>
          <w:b/>
          <w:bCs/>
          <w:color w:val="2E7D5B"/>
          <w:sz w:val="22"/>
          <w:szCs w:val="22"/>
        </w:rPr>
        <w:t xml:space="preserve">Result.  </w:t>
      </w:r>
      <w:r>
        <w:rPr>
          <w:color w:val="1A1A1A"/>
          <w:sz w:val="22"/>
          <w:szCs w:val="22"/>
        </w:rPr>
        <w:t xml:space="preserve">A working app with a real-time monitoring loop, a CBT intervention flow grounded in the Burns cognitive-distortion model, and a fully documented product lifecycle—evidence I can run discovery, prioritization, technical tradeoffs, and delivery as a PM.</w:t>
      </w:r>
    </w:p>
    <w:p>
      <w:pPr>
        <w:pStyle w:val="Heading2"/>
        <w:spacing w:after="120" w:before="260"/>
      </w:pPr>
      <w:r>
        <w:rPr>
          <w:b/>
          <w:bCs/>
          <w:color w:val="2E7D5B"/>
          <w:sz w:val="26"/>
          <w:szCs w:val="26"/>
        </w:rPr>
        <w:t xml:space="preserve">Three Tailored 30-Second Versions</w:t>
      </w:r>
    </w:p>
    <w:p>
      <w:pPr>
        <w:spacing w:after="140" w:line="264"/>
      </w:pPr>
      <w:r>
        <w:rPr>
          <w:color w:val="555555"/>
          <w:sz w:val="22"/>
          <w:szCs w:val="22"/>
        </w:rPr>
        <w:t xml:space="preserve">Same project, different emphasis. Pick the row that matches the company in front of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1"/>
              <w:left w:val="single" w:color="CCCCCC" w:sz="1"/>
              <w:bottom w:val="single" w:color="CCCCCC" w:sz="1"/>
              <w:right w:val="single" w:color="CCCCCC" w:sz="1"/>
            </w:tcBorders>
            <w:shd w:fill="2E7D5B" w:val="clear"/>
            <w:tcMar>
              <w:top w:type="dxa" w:w="100"/>
              <w:left w:type="dxa" w:w="140"/>
              <w:bottom w:type="dxa" w:w="100"/>
              <w:right w:type="dxa" w:w="140"/>
            </w:tcMar>
          </w:tcPr>
          <w:p>
            <w:r>
              <w:rPr>
                <w:b/>
                <w:bCs/>
                <w:color w:val="FFFFFF"/>
                <w:sz w:val="22"/>
                <w:szCs w:val="22"/>
              </w:rPr>
              <w:t xml:space="preserve">Audience</w:t>
            </w:r>
          </w:p>
        </w:tc>
        <w:tc>
          <w:tcPr>
            <w:tcW w:type="dxa" w:w="7260"/>
            <w:tcBorders>
              <w:top w:val="single" w:color="CCCCCC" w:sz="1"/>
              <w:left w:val="single" w:color="CCCCCC" w:sz="1"/>
              <w:bottom w:val="single" w:color="CCCCCC" w:sz="1"/>
              <w:right w:val="single" w:color="CCCCCC" w:sz="1"/>
            </w:tcBorders>
            <w:shd w:fill="2E7D5B" w:val="clear"/>
            <w:tcMar>
              <w:top w:type="dxa" w:w="100"/>
              <w:left w:type="dxa" w:w="140"/>
              <w:bottom w:type="dxa" w:w="100"/>
              <w:right w:type="dxa" w:w="140"/>
            </w:tcMar>
          </w:tcPr>
          <w:p>
            <w:r>
              <w:rPr>
                <w:b/>
                <w:bCs/>
                <w:color w:val="FFFFFF"/>
                <w:sz w:val="22"/>
                <w:szCs w:val="22"/>
              </w:rPr>
              <w:t xml:space="preserve">What to say</w:t>
            </w:r>
          </w:p>
        </w:tc>
      </w:tr>
      <w:tr>
        <w:tc>
          <w:tcPr>
            <w:tcW w:type="dxa" w:w="2100"/>
            <w:tcBorders>
              <w:top w:val="single" w:color="CCCCCC" w:sz="1"/>
              <w:left w:val="single" w:color="CCCCCC" w:sz="1"/>
              <w:bottom w:val="single" w:color="CCCCCC" w:sz="1"/>
              <w:right w:val="single" w:color="CCCCCC" w:sz="1"/>
            </w:tcBorders>
            <w:shd w:fill="EAF3EE" w:val="clear"/>
            <w:tcMar>
              <w:top w:type="dxa" w:w="100"/>
              <w:left w:type="dxa" w:w="140"/>
              <w:bottom w:type="dxa" w:w="100"/>
              <w:right w:type="dxa" w:w="140"/>
            </w:tcMar>
          </w:tcPr>
          <w:p>
            <w:r>
              <w:rPr>
                <w:b/>
                <w:bCs/>
                <w:color w:val="1A1A1A"/>
                <w:sz w:val="22"/>
                <w:szCs w:val="22"/>
              </w:rPr>
              <w:t xml:space="preserve">Semiconductor PM</w:t>
            </w:r>
          </w:p>
        </w:tc>
        <w:tc>
          <w:tcPr>
            <w:tcW w:type="dxa" w:w="7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line="252"/>
            </w:pPr>
            <w:r>
              <w:rPr>
                <w:color w:val="1A1A1A"/>
                <w:sz w:val="21"/>
                <w:szCs w:val="21"/>
              </w:rPr>
              <w:t xml:space="preserve">“As an FAE in AMD’s embedded org, I already work the PM-adjacent side—translating customer requirements into engineering direction and feeding field signal back into the roadmap. What I hadn’t owned was a product end-to-end, so I built Momentum: I wrote the PRD, set a six-version roadmap, and made the core architecture tradeoffs myself, documenting them as ADRs the way an engineering org expects. It shows I can own the full lifecycle and the technical decisions, on top of the silicon and customer depth I already bring.”</w:t>
            </w:r>
          </w:p>
        </w:tc>
      </w:tr>
      <w:tr>
        <w:tc>
          <w:tcPr>
            <w:tcW w:type="dxa" w:w="2100"/>
            <w:tcBorders>
              <w:top w:val="single" w:color="CCCCCC" w:sz="1"/>
              <w:left w:val="single" w:color="CCCCCC" w:sz="1"/>
              <w:bottom w:val="single" w:color="CCCCCC" w:sz="1"/>
              <w:right w:val="single" w:color="CCCCCC" w:sz="1"/>
            </w:tcBorders>
            <w:shd w:fill="EAF3EE" w:val="clear"/>
            <w:tcMar>
              <w:top w:type="dxa" w:w="100"/>
              <w:left w:type="dxa" w:w="140"/>
              <w:bottom w:type="dxa" w:w="100"/>
              <w:right w:type="dxa" w:w="140"/>
            </w:tcMar>
          </w:tcPr>
          <w:p>
            <w:r>
              <w:rPr>
                <w:b/>
                <w:bCs/>
                <w:color w:val="1A1A1A"/>
                <w:sz w:val="22"/>
                <w:szCs w:val="22"/>
              </w:rPr>
              <w:t xml:space="preserve">Embedded Systems PM</w:t>
            </w:r>
          </w:p>
        </w:tc>
        <w:tc>
          <w:tcPr>
            <w:tcW w:type="dxa" w:w="7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line="252"/>
            </w:pPr>
            <w:r>
              <w:rPr>
                <w:color w:val="1A1A1A"/>
                <w:sz w:val="21"/>
                <w:szCs w:val="21"/>
              </w:rPr>
              <w:t xml:space="preserve">“Momentum does real low-level work—enumerating active windows, reading browser state through a UI-Automation sidecar, rebuilding native modules against Electron’s ABI, and budgeting write volume so a 10-second polling loop doesn’t hammer the disk. I made and documented those tradeoffs. Coming from embedded FAE work on FPGAs and x86, that systems-level thinking is where I’m most at home, and Momentum shows I can carry it into owning a product, not just supporting one.”</w:t>
            </w:r>
          </w:p>
        </w:tc>
      </w:tr>
      <w:tr>
        <w:tc>
          <w:tcPr>
            <w:tcW w:type="dxa" w:w="2100"/>
            <w:tcBorders>
              <w:top w:val="single" w:color="CCCCCC" w:sz="1"/>
              <w:left w:val="single" w:color="CCCCCC" w:sz="1"/>
              <w:bottom w:val="single" w:color="CCCCCC" w:sz="1"/>
              <w:right w:val="single" w:color="CCCCCC" w:sz="1"/>
            </w:tcBorders>
            <w:shd w:fill="EAF3EE" w:val="clear"/>
            <w:tcMar>
              <w:top w:type="dxa" w:w="100"/>
              <w:left w:type="dxa" w:w="140"/>
              <w:bottom w:type="dxa" w:w="100"/>
              <w:right w:type="dxa" w:w="140"/>
            </w:tcMar>
          </w:tcPr>
          <w:p>
            <w:r>
              <w:rPr>
                <w:b/>
                <w:bCs/>
                <w:color w:val="1A1A1A"/>
                <w:sz w:val="22"/>
                <w:szCs w:val="22"/>
              </w:rPr>
              <w:t xml:space="preserve">Software PM</w:t>
            </w:r>
          </w:p>
        </w:tc>
        <w:tc>
          <w:tcPr>
            <w:tcW w:type="dxa" w:w="7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line="252"/>
            </w:pPr>
            <w:r>
              <w:rPr>
                <w:color w:val="1A1A1A"/>
                <w:sz w:val="21"/>
                <w:szCs w:val="21"/>
              </w:rPr>
              <w:t xml:space="preserve">“Most productivity tools are passive—they track or block. Momentum is the active layer: it detects distraction and intervenes in the moment with short CBT exercises grounded in clinical behavioral science, which is hard to copy with a generic nudge. I designed it neurodivergent-first—designing for the users who feel the pain most acutely makes it better for everyone—built a token-based design system, and made deliberate UX calls to reduce cognitive overload. An end-to-end product with a clear wedge and a real point of view on the user.”</w:t>
            </w:r>
          </w:p>
        </w:tc>
      </w:tr>
    </w:tbl>
    <w:p>
      <w:pPr>
        <w:pStyle w:val="Heading2"/>
        <w:spacing w:after="120" w:before="260"/>
      </w:pPr>
      <w:r>
        <w:rPr>
          <w:b/>
          <w:bCs/>
          <w:color w:val="2E7D5B"/>
          <w:sz w:val="26"/>
          <w:szCs w:val="26"/>
        </w:rPr>
        <w:t xml:space="preserve">Honesty Guardrails (read before every interview)</w:t>
      </w:r>
    </w:p>
    <w:p>
      <w:pPr>
        <w:pStyle w:val="ListParagraph"/>
        <w:numPr>
          <w:ilvl w:val="0"/>
          <w:numId w:val="2"/>
        </w:numPr>
        <w:spacing w:after="80" w:line="264"/>
      </w:pPr>
      <w:r>
        <w:rPr>
          <w:b/>
          <w:bCs/>
          <w:color w:val="1A1A1A"/>
          <w:sz w:val="22"/>
          <w:szCs w:val="22"/>
        </w:rPr>
        <w:t xml:space="preserve">Lead with the market insight, not autobiography. </w:t>
      </w:r>
      <w:r>
        <w:rPr>
          <w:color w:val="1A1A1A"/>
          <w:sz w:val="22"/>
          <w:szCs w:val="22"/>
        </w:rPr>
        <w:t xml:space="preserve">You’re a credible user—you don’t need to be the case study.</w:t>
      </w:r>
    </w:p>
    <w:p>
      <w:pPr>
        <w:pStyle w:val="ListParagraph"/>
        <w:numPr>
          <w:ilvl w:val="0"/>
          <w:numId w:val="2"/>
        </w:numPr>
        <w:spacing w:after="80" w:line="264"/>
      </w:pPr>
      <w:r>
        <w:rPr>
          <w:b/>
          <w:bCs/>
          <w:color w:val="1A1A1A"/>
          <w:sz w:val="22"/>
          <w:szCs w:val="22"/>
        </w:rPr>
        <w:t xml:space="preserve">Frame CBT as a clinical, defensible differentiator</w:t>
      </w:r>
      <w:r>
        <w:rPr>
          <w:color w:val="1A1A1A"/>
          <w:sz w:val="22"/>
          <w:szCs w:val="22"/>
        </w:rPr>
        <w:t xml:space="preserve">—not a personal therapy story. You operationalized a validated model into software.</w:t>
      </w:r>
    </w:p>
    <w:p>
      <w:pPr>
        <w:pStyle w:val="ListParagraph"/>
        <w:numPr>
          <w:ilvl w:val="0"/>
          <w:numId w:val="2"/>
        </w:numPr>
        <w:spacing w:after="80" w:line="264"/>
      </w:pPr>
      <w:r>
        <w:rPr>
          <w:b/>
          <w:bCs/>
          <w:color w:val="1A1A1A"/>
          <w:sz w:val="22"/>
          <w:szCs w:val="22"/>
        </w:rPr>
        <w:t xml:space="preserve">Frame “reducing overwhelm” as a design principle </w:t>
      </w:r>
      <w:r>
        <w:rPr>
          <w:color w:val="1A1A1A"/>
          <w:sz w:val="22"/>
          <w:szCs w:val="22"/>
        </w:rPr>
        <w:t xml:space="preserve">(progressive disclosure, one step at a time)—not a personal struggle.</w:t>
      </w:r>
    </w:p>
    <w:p>
      <w:pPr>
        <w:pStyle w:val="ListParagraph"/>
        <w:numPr>
          <w:ilvl w:val="0"/>
          <w:numId w:val="2"/>
        </w:numPr>
        <w:spacing w:after="80" w:line="264"/>
      </w:pPr>
      <w:r>
        <w:rPr>
          <w:b/>
          <w:bCs/>
          <w:color w:val="1A1A1A"/>
          <w:sz w:val="22"/>
          <w:szCs w:val="22"/>
        </w:rPr>
        <w:t xml:space="preserve">Don’t volunteer the layoff as causal. </w:t>
      </w:r>
      <w:r>
        <w:rPr>
          <w:color w:val="1A1A1A"/>
          <w:sz w:val="22"/>
          <w:szCs w:val="22"/>
        </w:rPr>
        <w:t xml:space="preserve">If the gap comes up: “I was between roles and used the time to build something end-to-end I’d wanted to own.”</w:t>
      </w:r>
    </w:p>
    <w:p>
      <w:pPr>
        <w:pStyle w:val="ListParagraph"/>
        <w:numPr>
          <w:ilvl w:val="0"/>
          <w:numId w:val="2"/>
        </w:numPr>
        <w:spacing w:after="80" w:line="264"/>
      </w:pPr>
      <w:r>
        <w:rPr>
          <w:b/>
          <w:bCs/>
          <w:color w:val="1A1A1A"/>
          <w:sz w:val="22"/>
          <w:szCs w:val="22"/>
        </w:rPr>
        <w:t xml:space="preserve">Your mom and peers are validation data points—</w:t>
      </w:r>
      <w:r>
        <w:rPr>
          <w:color w:val="1A1A1A"/>
          <w:sz w:val="22"/>
          <w:szCs w:val="22"/>
        </w:rPr>
        <w:t xml:space="preserve">true and useful—not a manufactured centerpiece. Don’t fabricate; the honest version survives follow-up questions and is stronger.</w:t>
      </w:r>
    </w:p>
    <w:p>
      <w:pPr>
        <w:pStyle w:val="Heading2"/>
        <w:spacing w:after="120" w:before="260"/>
      </w:pPr>
      <w:r>
        <w:rPr>
          <w:b/>
          <w:bCs/>
          <w:color w:val="2E7D5B"/>
          <w:sz w:val="26"/>
          <w:szCs w:val="26"/>
        </w:rPr>
        <w:t xml:space="preserve">Likely Follow-Ups &amp; Crisp Answers</w:t>
      </w:r>
    </w:p>
    <w:p>
      <w:pPr>
        <w:spacing w:after="120" w:line="264"/>
      </w:pPr>
      <w:r>
        <w:rPr>
          <w:b/>
          <w:bCs/>
          <w:color w:val="2E7D5B"/>
          <w:sz w:val="22"/>
          <w:szCs w:val="22"/>
        </w:rPr>
        <w:t xml:space="preserve">“Did you build this just for yourself?”  </w:t>
      </w:r>
      <w:r>
        <w:rPr>
          <w:color w:val="1A1A1A"/>
          <w:sz w:val="22"/>
          <w:szCs w:val="22"/>
        </w:rPr>
        <w:t xml:space="preserve">“It started from a pain I felt acutely—that’s founder-market fit—but I deliberately validated beyond myself with remote-working peers and a family member, and grounded the approach in published behavioral science rather than just my own preferences.”</w:t>
      </w:r>
    </w:p>
    <w:p>
      <w:pPr>
        <w:spacing w:after="120" w:line="264"/>
      </w:pPr>
      <w:r>
        <w:rPr>
          <w:b/>
          <w:bCs/>
          <w:color w:val="2E7D5B"/>
          <w:sz w:val="22"/>
          <w:szCs w:val="22"/>
        </w:rPr>
        <w:t xml:space="preserve">“Who is the target user?”  </w:t>
      </w:r>
      <w:r>
        <w:rPr>
          <w:color w:val="1A1A1A"/>
          <w:sz w:val="22"/>
          <w:szCs w:val="22"/>
        </w:rPr>
        <w:t xml:space="preserve">“Remote knowledge workers who struggle with sustained focus. I designed it neurodivergent-first because designing for the people who feel the pain most acutely produces something better for everyone—the curb-cut effect.”</w:t>
      </w:r>
    </w:p>
    <w:p>
      <w:pPr>
        <w:spacing w:after="40" w:line="264"/>
      </w:pPr>
      <w:r>
        <w:rPr>
          <w:b/>
          <w:bCs/>
          <w:color w:val="2E7D5B"/>
          <w:sz w:val="22"/>
          <w:szCs w:val="22"/>
        </w:rPr>
        <w:t xml:space="preserve">“You’re from hardware—can you do software PM?”  </w:t>
      </w:r>
      <w:r>
        <w:rPr>
          <w:color w:val="1A1A1A"/>
          <w:sz w:val="22"/>
          <w:szCs w:val="22"/>
        </w:rPr>
        <w:t xml:space="preserve">“FAE is already the most PM-adjacent role in the field org. Momentum is the proof I can own the parts an FAE doesn’t normally own: problem definition, PRD, roadmap, prioritization, architecture tradeoffs, design, and shipping.”</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Momentum — Interview Positioning Brief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60"/>
      <w:outlineLvl w:val="1"/>
    </w:pPr>
    <w:rPr>
      <w:rFonts w:ascii="Arial" w:cs="Arial" w:eastAsia="Arial" w:hAnsi="Arial"/>
      <w:b/>
      <w:bCs/>
      <w:color w:val="2E7D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2026-06-25T20:09:46.663Z</dcterms:created>
  <dcterms:modified xsi:type="dcterms:W3CDTF">2026-06-25T20:09:46.663Z</dcterms:modified>
</cp:coreProperties>
</file>

<file path=docProps/custom.xml><?xml version="1.0" encoding="utf-8"?>
<Properties xmlns="http://schemas.openxmlformats.org/officeDocument/2006/custom-properties" xmlns:vt="http://schemas.openxmlformats.org/officeDocument/2006/docPropsVTypes"/>
</file>