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069D" w14:textId="495D496D" w:rsidR="000C579F" w:rsidRDefault="00CE48EB">
      <w:r>
        <w:t>Benjamin Goldman</w:t>
      </w:r>
    </w:p>
    <w:p w14:paraId="1AD6C9C2" w14:textId="12AC987E" w:rsidR="00CE48EB" w:rsidRDefault="00CE48EB">
      <w:r>
        <w:t>White Plains High School</w:t>
      </w:r>
    </w:p>
    <w:p w14:paraId="0262C3F6" w14:textId="60BF7AE6" w:rsidR="00CE48EB" w:rsidRDefault="00CE48EB">
      <w:r>
        <w:t>The Impact of Anthropogenic Forcing on ENSO Amplitude</w:t>
      </w:r>
    </w:p>
    <w:p w14:paraId="2E2E717D" w14:textId="5A05605D" w:rsidR="00CE48EB" w:rsidRDefault="00827676">
      <w:r>
        <w:t>Table of Contents</w:t>
      </w:r>
    </w:p>
    <w:p w14:paraId="1B4EC6B3" w14:textId="38297E9F" w:rsidR="00827676" w:rsidRDefault="00827676"/>
    <w:p w14:paraId="2AEB5914" w14:textId="772C4FD0" w:rsidR="00827676" w:rsidRDefault="00827676">
      <w:r>
        <w:t>List of Figures and Tables</w:t>
      </w:r>
    </w:p>
    <w:p w14:paraId="79FEE56E" w14:textId="42B4AB5D" w:rsidR="00827676" w:rsidRDefault="00827676"/>
    <w:p w14:paraId="281EF91C" w14:textId="0E41227F" w:rsidR="00827676" w:rsidRDefault="00F96760">
      <w:r>
        <w:t>Abstract</w:t>
      </w:r>
    </w:p>
    <w:p w14:paraId="73D51349" w14:textId="22A2BA14" w:rsidR="00F96760" w:rsidRDefault="00F96760">
      <w:r w:rsidRPr="00F96760">
        <w:t>The El Niño/Southern Oscillation (ENSO) is the dominant mode of interannual climate variability, with substantial associated global socio-economic impacts. Due to their significance, shifts in ENSO under climate change also have the potential to substantially impact human society and natural ecosystems. However, it is currently unclear what effect greenhouse gas (GHG</w:t>
      </w:r>
      <w:proofErr w:type="gramStart"/>
      <w:r w:rsidRPr="00F96760">
        <w:t>)</w:t>
      </w:r>
      <w:proofErr w:type="gramEnd"/>
      <w:r w:rsidRPr="00F96760">
        <w:t xml:space="preserve"> and industrial aerosol (AER) emissions have on ENSO, as well as what effect these factors have when combined. This study examined transient changes to ENSO variance under a variety of forcing scenarios using the CESM1 and CESM2 Large and Single-Forcing Ensembles. These multi-member ensembles span the historical record (1920-2005) and much of the 21st C (2006-2080 for GHG/AER). A 2000-year pre-industrial (PI) control simulation is used to account for model drift and 20-year running variance of the Niño 3.4 SST index is used as a proxy for ENSO variance. The ensemble </w:t>
      </w:r>
      <w:proofErr w:type="gramStart"/>
      <w:r w:rsidRPr="00F96760">
        <w:t>mean</w:t>
      </w:r>
      <w:proofErr w:type="gramEnd"/>
      <w:r w:rsidRPr="00F96760">
        <w:t xml:space="preserve"> and standard error of each ensemble was calculated, while the Probability Density Function (PDF) is computed for the PI control simulation to estimate the statistical significance of simulated changes. We calculated the correlation coefficient between ocean temperature in the equatorial Pacific and Niño 3.4 under various forcing conditions, concluding that Pacific stratification likely is tied to changes to ENSO amplitude. We </w:t>
      </w:r>
      <w:proofErr w:type="spellStart"/>
      <w:r w:rsidRPr="00F96760">
        <w:t>identifed</w:t>
      </w:r>
      <w:proofErr w:type="spellEnd"/>
      <w:r w:rsidRPr="00F96760">
        <w:t xml:space="preserve"> significant increases in variance of the Niño 3.4 index under full-forcing conditions during the historical record and attribute these mainly to changes in GHG, with the potential emergence of AER-driven increases in the decades to come.</w:t>
      </w:r>
    </w:p>
    <w:p w14:paraId="57C94830" w14:textId="5FE338BF" w:rsidR="00F96760" w:rsidRDefault="00F96760"/>
    <w:p w14:paraId="2B04D307" w14:textId="77777777" w:rsidR="00F96760" w:rsidRDefault="00F96760"/>
    <w:sectPr w:rsidR="00F96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9F"/>
    <w:rsid w:val="000C579F"/>
    <w:rsid w:val="00827676"/>
    <w:rsid w:val="009D4C6E"/>
    <w:rsid w:val="00CE48EB"/>
    <w:rsid w:val="00F9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D0FCF"/>
  <w15:chartTrackingRefBased/>
  <w15:docId w15:val="{1E079579-B20F-7B4E-94FF-E3161A41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Oren Goldman</dc:creator>
  <cp:keywords/>
  <dc:description/>
  <cp:lastModifiedBy>Benjamin Oren Goldman</cp:lastModifiedBy>
  <cp:revision>5</cp:revision>
  <dcterms:created xsi:type="dcterms:W3CDTF">2021-10-18T13:26:00Z</dcterms:created>
  <dcterms:modified xsi:type="dcterms:W3CDTF">2021-10-18T13:29:00Z</dcterms:modified>
</cp:coreProperties>
</file>