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0070" w:type="dxa"/>
        <w:tblLook w:val="04A0" w:firstRow="1" w:lastRow="0" w:firstColumn="1" w:lastColumn="0" w:noHBand="0" w:noVBand="1"/>
      </w:tblPr>
      <w:tblGrid>
        <w:gridCol w:w="1634"/>
        <w:gridCol w:w="5162"/>
        <w:gridCol w:w="3274"/>
      </w:tblGrid>
      <w:tr w:rsidR="00E94F69" w14:paraId="7540C057" w14:textId="77777777" w:rsidTr="0073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14:paraId="4D72C987" w14:textId="0069A59B" w:rsidR="00E94F69" w:rsidRDefault="00D04881" w:rsidP="00B97554">
            <w:r>
              <w:t>Word</w:t>
            </w:r>
          </w:p>
        </w:tc>
        <w:tc>
          <w:tcPr>
            <w:tcW w:w="5363" w:type="dxa"/>
          </w:tcPr>
          <w:p w14:paraId="47AA0CD8" w14:textId="2FD7BA15" w:rsidR="00E94F69" w:rsidRDefault="00D04881" w:rsidP="00B97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3357" w:type="dxa"/>
          </w:tcPr>
          <w:p w14:paraId="61BB9B46" w14:textId="334874F7" w:rsidR="00E94F69" w:rsidRDefault="00D04881" w:rsidP="00B97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E94F69" w14:paraId="1F536860" w14:textId="77777777" w:rsidTr="0073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01FC9BB" w14:textId="779A46CE" w:rsidR="00E94F69" w:rsidRDefault="00D04881" w:rsidP="00B97554">
            <w:r>
              <w:t>Maunder Minimum</w:t>
            </w:r>
          </w:p>
        </w:tc>
        <w:tc>
          <w:tcPr>
            <w:tcW w:w="5363" w:type="dxa"/>
          </w:tcPr>
          <w:p w14:paraId="6E8AFC26" w14:textId="5D579C6F" w:rsidR="00E94F69" w:rsidRDefault="00D52A5B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Period of very few sunspots between </w:t>
            </w:r>
            <w:r w:rsidR="00492629">
              <w:t>1645 and 1715</w:t>
            </w:r>
          </w:p>
        </w:tc>
        <w:tc>
          <w:tcPr>
            <w:tcW w:w="3357" w:type="dxa"/>
          </w:tcPr>
          <w:p w14:paraId="64F82940" w14:textId="579588F9" w:rsidR="00E94F69" w:rsidRDefault="00492629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Britannica.com</w:t>
            </w:r>
          </w:p>
        </w:tc>
      </w:tr>
      <w:tr w:rsidR="00E94F69" w14:paraId="02AE1E84" w14:textId="77777777" w:rsidTr="007323F2">
        <w:trPr>
          <w:trHeight w:val="1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DD7E278" w14:textId="1C9BF56D" w:rsidR="00E94F69" w:rsidRDefault="00274813" w:rsidP="00B97554">
            <w:r>
              <w:t>Planetary wave</w:t>
            </w:r>
          </w:p>
        </w:tc>
        <w:tc>
          <w:tcPr>
            <w:tcW w:w="5363" w:type="dxa"/>
          </w:tcPr>
          <w:p w14:paraId="3E180D41" w14:textId="5B2D09BB" w:rsidR="00E94F69" w:rsidRDefault="00274813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Rossby wave, meanders forming in the </w:t>
            </w:r>
            <w:r w:rsidR="00F74C3A">
              <w:t>polar jet stream that are caused by an interaction between temperature and the earth’s rotation</w:t>
            </w:r>
          </w:p>
        </w:tc>
        <w:tc>
          <w:tcPr>
            <w:tcW w:w="3357" w:type="dxa"/>
          </w:tcPr>
          <w:p w14:paraId="3BC15386" w14:textId="0AC6123E" w:rsidR="00E94F69" w:rsidRDefault="00F74C3A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Wikipedia</w:t>
            </w:r>
          </w:p>
        </w:tc>
      </w:tr>
      <w:tr w:rsidR="00E94F69" w14:paraId="6513CFDB" w14:textId="77777777" w:rsidTr="0073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CD55177" w14:textId="2C9EC8D8" w:rsidR="00E94F69" w:rsidRDefault="00E50B47" w:rsidP="00B97554">
            <w:r>
              <w:t>Radiative budget</w:t>
            </w:r>
          </w:p>
        </w:tc>
        <w:tc>
          <w:tcPr>
            <w:tcW w:w="5363" w:type="dxa"/>
          </w:tcPr>
          <w:p w14:paraId="4EA3462E" w14:textId="21BE410C" w:rsidR="00E94F69" w:rsidRDefault="00E50B47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Breakdown of how much light reaches the earth, how much is reflected, absorbed, trapped</w:t>
            </w:r>
          </w:p>
        </w:tc>
        <w:tc>
          <w:tcPr>
            <w:tcW w:w="3357" w:type="dxa"/>
          </w:tcPr>
          <w:p w14:paraId="68C83E88" w14:textId="0117CD06" w:rsidR="00E94F69" w:rsidRDefault="00E50B47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Science.nasa.gov</w:t>
            </w:r>
          </w:p>
        </w:tc>
      </w:tr>
      <w:tr w:rsidR="00E94F69" w14:paraId="54197916" w14:textId="77777777" w:rsidTr="007323F2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19E657" w14:textId="52598CC8" w:rsidR="00E94F69" w:rsidRDefault="00A2155E" w:rsidP="00B97554">
            <w:r>
              <w:t>Spectral density</w:t>
            </w:r>
          </w:p>
        </w:tc>
        <w:tc>
          <w:tcPr>
            <w:tcW w:w="5363" w:type="dxa"/>
          </w:tcPr>
          <w:p w14:paraId="30A67305" w14:textId="32774558" w:rsidR="00E94F69" w:rsidRDefault="00A2155E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Strength of </w:t>
            </w:r>
            <w:r w:rsidR="007520E6">
              <w:t>a wave at different frequencies</w:t>
            </w:r>
          </w:p>
        </w:tc>
        <w:tc>
          <w:tcPr>
            <w:tcW w:w="3357" w:type="dxa"/>
          </w:tcPr>
          <w:p w14:paraId="7C97515E" w14:textId="498323ED" w:rsidR="00E94F69" w:rsidRDefault="00507CA3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Wikipedia</w:t>
            </w:r>
          </w:p>
        </w:tc>
      </w:tr>
      <w:tr w:rsidR="00E94F69" w14:paraId="0FCCDFD9" w14:textId="77777777" w:rsidTr="0073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047173B" w14:textId="019A0AC3" w:rsidR="00E94F69" w:rsidRDefault="00067231" w:rsidP="00B97554">
            <w:r>
              <w:t>precession</w:t>
            </w:r>
          </w:p>
        </w:tc>
        <w:tc>
          <w:tcPr>
            <w:tcW w:w="5363" w:type="dxa"/>
          </w:tcPr>
          <w:p w14:paraId="72533541" w14:textId="11C67AEB" w:rsidR="00E94F69" w:rsidRDefault="00067231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 change in the angle of the earth’s axis</w:t>
            </w:r>
          </w:p>
        </w:tc>
        <w:tc>
          <w:tcPr>
            <w:tcW w:w="3357" w:type="dxa"/>
          </w:tcPr>
          <w:p w14:paraId="7D2F0482" w14:textId="46E57831" w:rsidR="00E94F69" w:rsidRDefault="00067231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Dictionary.com</w:t>
            </w:r>
          </w:p>
        </w:tc>
      </w:tr>
      <w:tr w:rsidR="00E94F69" w14:paraId="10565CF5" w14:textId="77777777" w:rsidTr="007323F2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1B43B9C" w14:textId="064E9C02" w:rsidR="00E94F69" w:rsidRDefault="00067231" w:rsidP="00B97554">
            <w:r>
              <w:t>obliquity</w:t>
            </w:r>
          </w:p>
        </w:tc>
        <w:tc>
          <w:tcPr>
            <w:tcW w:w="5363" w:type="dxa"/>
          </w:tcPr>
          <w:p w14:paraId="3A5F96DB" w14:textId="087C9B13" w:rsidR="00E94F69" w:rsidRDefault="00956E27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angle between the earth’s equator and the</w:t>
            </w:r>
            <w:r w:rsidR="00264F7B">
              <w:t xml:space="preserve"> ecliptic plane</w:t>
            </w:r>
          </w:p>
        </w:tc>
        <w:tc>
          <w:tcPr>
            <w:tcW w:w="3357" w:type="dxa"/>
          </w:tcPr>
          <w:p w14:paraId="002B1878" w14:textId="1C19A0C9" w:rsidR="00E94F69" w:rsidRDefault="00264F7B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Merriam-webster.com</w:t>
            </w:r>
          </w:p>
        </w:tc>
      </w:tr>
      <w:tr w:rsidR="00E94F69" w14:paraId="7003A814" w14:textId="77777777" w:rsidTr="0073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C38E0AC" w14:textId="05690E34" w:rsidR="00E94F69" w:rsidRDefault="00D50222" w:rsidP="00B97554">
            <w:r>
              <w:t>B.P.</w:t>
            </w:r>
          </w:p>
        </w:tc>
        <w:tc>
          <w:tcPr>
            <w:tcW w:w="5363" w:type="dxa"/>
          </w:tcPr>
          <w:p w14:paraId="0D0FFB23" w14:textId="28F0678A" w:rsidR="00E94F69" w:rsidRDefault="00D50222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Before Present</w:t>
            </w:r>
          </w:p>
        </w:tc>
        <w:tc>
          <w:tcPr>
            <w:tcW w:w="3357" w:type="dxa"/>
          </w:tcPr>
          <w:p w14:paraId="392232CD" w14:textId="1647BB57" w:rsidR="00E94F69" w:rsidRDefault="00682981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Wikipedia</w:t>
            </w:r>
          </w:p>
        </w:tc>
      </w:tr>
      <w:tr w:rsidR="00682981" w14:paraId="4D8C3DCF" w14:textId="77777777" w:rsidTr="007323F2">
        <w:trPr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846E525" w14:textId="682C46CD" w:rsidR="00682981" w:rsidRDefault="00682981" w:rsidP="00B97554">
            <w:r>
              <w:t>paleoproxy</w:t>
            </w:r>
          </w:p>
        </w:tc>
        <w:tc>
          <w:tcPr>
            <w:tcW w:w="5363" w:type="dxa"/>
          </w:tcPr>
          <w:p w14:paraId="02D1ABF0" w14:textId="0F077D05" w:rsidR="00682981" w:rsidRDefault="000970D2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80163D">
              <w:t>that indicates change in the earth’s climate from long ago</w:t>
            </w:r>
          </w:p>
        </w:tc>
        <w:tc>
          <w:tcPr>
            <w:tcW w:w="3357" w:type="dxa"/>
          </w:tcPr>
          <w:p w14:paraId="40BDD474" w14:textId="02CB6546" w:rsidR="00682981" w:rsidRDefault="00201487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International environmental data rescue </w:t>
            </w:r>
            <w:r w:rsidR="00B45EE2">
              <w:t>organization</w:t>
            </w:r>
          </w:p>
        </w:tc>
      </w:tr>
      <w:tr w:rsidR="00682981" w14:paraId="4E645B0D" w14:textId="77777777" w:rsidTr="0073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6BE5051" w14:textId="3FC12FBA" w:rsidR="00682981" w:rsidRDefault="00B222D6" w:rsidP="00B97554">
            <w:r>
              <w:t>Cosmogenic</w:t>
            </w:r>
          </w:p>
        </w:tc>
        <w:tc>
          <w:tcPr>
            <w:tcW w:w="5363" w:type="dxa"/>
          </w:tcPr>
          <w:p w14:paraId="1E1BF61D" w14:textId="439EC1D3" w:rsidR="00682981" w:rsidRDefault="00B222D6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Produced </w:t>
            </w:r>
            <w:r w:rsidR="00305445">
              <w:t>by cosmic rays</w:t>
            </w:r>
          </w:p>
        </w:tc>
        <w:tc>
          <w:tcPr>
            <w:tcW w:w="3357" w:type="dxa"/>
          </w:tcPr>
          <w:p w14:paraId="31BD8356" w14:textId="24929B44" w:rsidR="00682981" w:rsidRDefault="00305445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Merriam-webser.com</w:t>
            </w:r>
          </w:p>
        </w:tc>
      </w:tr>
      <w:tr w:rsidR="00682981" w14:paraId="7793EE95" w14:textId="77777777" w:rsidTr="007323F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BA563E6" w14:textId="6BBF6D84" w:rsidR="00682981" w:rsidRDefault="00305445" w:rsidP="00B97554">
            <w:r>
              <w:t>nuclide</w:t>
            </w:r>
          </w:p>
        </w:tc>
        <w:tc>
          <w:tcPr>
            <w:tcW w:w="5363" w:type="dxa"/>
          </w:tcPr>
          <w:p w14:paraId="42F65A87" w14:textId="27074060" w:rsidR="00682981" w:rsidRDefault="000471B1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Kind of atom, isotope</w:t>
            </w:r>
          </w:p>
        </w:tc>
        <w:tc>
          <w:tcPr>
            <w:tcW w:w="3357" w:type="dxa"/>
          </w:tcPr>
          <w:p w14:paraId="7FFBBD23" w14:textId="43F77E39" w:rsidR="00682981" w:rsidRDefault="00C65D02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Britannica.com</w:t>
            </w:r>
          </w:p>
        </w:tc>
      </w:tr>
      <w:tr w:rsidR="00682981" w14:paraId="3F9BE8A4" w14:textId="77777777" w:rsidTr="0073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97587BF" w14:textId="4CCB1860" w:rsidR="00682981" w:rsidRDefault="00375B56" w:rsidP="00B97554">
            <w:r>
              <w:t xml:space="preserve">Gleissberg and </w:t>
            </w:r>
            <w:r w:rsidR="004A233C">
              <w:t>DeVries cycles</w:t>
            </w:r>
          </w:p>
        </w:tc>
        <w:tc>
          <w:tcPr>
            <w:tcW w:w="5363" w:type="dxa"/>
          </w:tcPr>
          <w:p w14:paraId="2CE59CA7" w14:textId="5B2918A0" w:rsidR="00682981" w:rsidRDefault="004A233C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Cycles present in the sun’s magnetic activity</w:t>
            </w:r>
          </w:p>
        </w:tc>
        <w:tc>
          <w:tcPr>
            <w:tcW w:w="3357" w:type="dxa"/>
          </w:tcPr>
          <w:p w14:paraId="7FB78CA7" w14:textId="19CC08DD" w:rsidR="00682981" w:rsidRDefault="004A233C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Wikipedia.com</w:t>
            </w:r>
          </w:p>
        </w:tc>
      </w:tr>
      <w:tr w:rsidR="00682981" w14:paraId="66F67DA5" w14:textId="77777777" w:rsidTr="007323F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8A1072A" w14:textId="618BFD7B" w:rsidR="00682981" w:rsidRDefault="00355D77" w:rsidP="00B97554">
            <w:r>
              <w:t>Broad band</w:t>
            </w:r>
          </w:p>
        </w:tc>
        <w:tc>
          <w:tcPr>
            <w:tcW w:w="5363" w:type="dxa"/>
          </w:tcPr>
          <w:p w14:paraId="549CE140" w14:textId="77777777" w:rsidR="00682981" w:rsidRDefault="00682981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7" w:type="dxa"/>
          </w:tcPr>
          <w:p w14:paraId="217A2BFE" w14:textId="77777777" w:rsidR="00682981" w:rsidRDefault="00682981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2981" w14:paraId="379B068D" w14:textId="77777777" w:rsidTr="0073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4C432EB" w14:textId="29EB54BF" w:rsidR="00682981" w:rsidRDefault="00930114" w:rsidP="00B97554">
            <w:r>
              <w:t>linearized</w:t>
            </w:r>
          </w:p>
        </w:tc>
        <w:tc>
          <w:tcPr>
            <w:tcW w:w="5363" w:type="dxa"/>
          </w:tcPr>
          <w:p w14:paraId="05E2342C" w14:textId="0F1DF1D6" w:rsidR="00682981" w:rsidRDefault="007E450F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A84ADE">
              <w:t>a</w:t>
            </w:r>
            <w:r>
              <w:t>ke a dataset linear</w:t>
            </w:r>
          </w:p>
        </w:tc>
        <w:tc>
          <w:tcPr>
            <w:tcW w:w="3357" w:type="dxa"/>
          </w:tcPr>
          <w:p w14:paraId="51F82472" w14:textId="561A7626" w:rsidR="00682981" w:rsidRDefault="007E450F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Merriam-webster.com</w:t>
            </w:r>
          </w:p>
        </w:tc>
      </w:tr>
      <w:tr w:rsidR="00682981" w14:paraId="2FDA395B" w14:textId="77777777" w:rsidTr="007323F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8762200" w14:textId="6B7B6498" w:rsidR="00682981" w:rsidRDefault="007E450F" w:rsidP="00B97554">
            <w:r>
              <w:t>prognostic</w:t>
            </w:r>
          </w:p>
        </w:tc>
        <w:tc>
          <w:tcPr>
            <w:tcW w:w="5363" w:type="dxa"/>
          </w:tcPr>
          <w:p w14:paraId="57033410" w14:textId="07A854B9" w:rsidR="00682981" w:rsidRDefault="00A9302B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to predict something</w:t>
            </w:r>
          </w:p>
        </w:tc>
        <w:tc>
          <w:tcPr>
            <w:tcW w:w="3357" w:type="dxa"/>
          </w:tcPr>
          <w:p w14:paraId="30F13064" w14:textId="26921033" w:rsidR="00682981" w:rsidRDefault="00A9302B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Merriam-webster.com</w:t>
            </w:r>
          </w:p>
        </w:tc>
      </w:tr>
      <w:tr w:rsidR="00682981" w14:paraId="778991F3" w14:textId="77777777" w:rsidTr="0073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93308B4" w14:textId="65943905" w:rsidR="00682981" w:rsidRDefault="001F0696" w:rsidP="00B97554">
            <w:r>
              <w:t>Perturbations</w:t>
            </w:r>
          </w:p>
        </w:tc>
        <w:tc>
          <w:tcPr>
            <w:tcW w:w="5363" w:type="dxa"/>
          </w:tcPr>
          <w:p w14:paraId="35E1CDD0" w14:textId="1EEB5CE0" w:rsidR="00682981" w:rsidRDefault="001F0696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Disturbances`</w:t>
            </w:r>
          </w:p>
        </w:tc>
        <w:tc>
          <w:tcPr>
            <w:tcW w:w="3357" w:type="dxa"/>
          </w:tcPr>
          <w:p w14:paraId="32A1781C" w14:textId="02FF451B" w:rsidR="00682981" w:rsidRDefault="001F0696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Merriam-webster.com</w:t>
            </w:r>
          </w:p>
        </w:tc>
      </w:tr>
      <w:tr w:rsidR="001F0696" w14:paraId="35245B66" w14:textId="77777777" w:rsidTr="007323F2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20C8ADB" w14:textId="3DB6D0BD" w:rsidR="001F0696" w:rsidRDefault="00023644" w:rsidP="00B97554">
            <w:r>
              <w:t>speleothems</w:t>
            </w:r>
          </w:p>
        </w:tc>
        <w:tc>
          <w:tcPr>
            <w:tcW w:w="5363" w:type="dxa"/>
          </w:tcPr>
          <w:p w14:paraId="5637B100" w14:textId="744E91FD" w:rsidR="001F0696" w:rsidRDefault="00023644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Cave formations such as stalactites</w:t>
            </w:r>
          </w:p>
        </w:tc>
        <w:tc>
          <w:tcPr>
            <w:tcW w:w="3357" w:type="dxa"/>
          </w:tcPr>
          <w:p w14:paraId="318E24BE" w14:textId="595797FF" w:rsidR="001F0696" w:rsidRDefault="00023644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Merriam-webster.com</w:t>
            </w:r>
          </w:p>
        </w:tc>
      </w:tr>
      <w:tr w:rsidR="001F0696" w14:paraId="45594B15" w14:textId="77777777" w:rsidTr="0073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46E7CAB" w14:textId="77777777" w:rsidR="001F0696" w:rsidRDefault="001F0696" w:rsidP="00B97554"/>
        </w:tc>
        <w:tc>
          <w:tcPr>
            <w:tcW w:w="5363" w:type="dxa"/>
          </w:tcPr>
          <w:p w14:paraId="0DB17F12" w14:textId="77777777" w:rsidR="001F0696" w:rsidRDefault="001F0696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7" w:type="dxa"/>
          </w:tcPr>
          <w:p w14:paraId="6D648BEF" w14:textId="77777777" w:rsidR="001F0696" w:rsidRDefault="001F0696" w:rsidP="00B9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0696" w14:paraId="5D801235" w14:textId="77777777" w:rsidTr="007323F2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A63F43" w14:textId="77777777" w:rsidR="001F0696" w:rsidRDefault="001F0696" w:rsidP="00B97554"/>
        </w:tc>
        <w:tc>
          <w:tcPr>
            <w:tcW w:w="5363" w:type="dxa"/>
          </w:tcPr>
          <w:p w14:paraId="0E48BBD9" w14:textId="77777777" w:rsidR="001F0696" w:rsidRDefault="001F0696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0E32BA" w14:textId="77777777" w:rsidR="00B97554" w:rsidRDefault="00B97554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454929" w14:textId="77777777" w:rsidR="00B97554" w:rsidRDefault="00B97554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D5C708" w14:textId="7EBCCE5A" w:rsidR="00B97554" w:rsidRDefault="00B97554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7" w:type="dxa"/>
          </w:tcPr>
          <w:p w14:paraId="374141A4" w14:textId="77777777" w:rsidR="001F0696" w:rsidRDefault="001F0696" w:rsidP="00B9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CE34CE" w14:textId="7D1E0D33" w:rsidR="00C31007" w:rsidRDefault="00082A51" w:rsidP="00B97554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Introduction:</w:t>
      </w:r>
    </w:p>
    <w:p w14:paraId="0716C3F2" w14:textId="6E4A46A1" w:rsidR="00C31007" w:rsidRDefault="00082A51" w:rsidP="00B97554">
      <w:pPr>
        <w:spacing w:line="240" w:lineRule="auto"/>
      </w:pPr>
      <w:r>
        <w:t xml:space="preserve">The influence of solar and orbital changes on climate have been thoroughly studied. </w:t>
      </w:r>
      <w:r w:rsidR="00BE3F26">
        <w:t xml:space="preserve">The main way that changes in the sun influence the climate is through sunspots, dark patches caused by magnetic activity. </w:t>
      </w:r>
      <w:r w:rsidR="008351B8">
        <w:t xml:space="preserve">The main dilemma in </w:t>
      </w:r>
      <w:r w:rsidR="004A79BD">
        <w:t>studying s</w:t>
      </w:r>
      <w:r w:rsidR="008351B8">
        <w:t xml:space="preserve">olar activity’s influence on climate is that changes in solar radiation are tiny, in comparison with total radiation. </w:t>
      </w:r>
      <w:r w:rsidR="00ED1554">
        <w:t xml:space="preserve">One major record of solar influence on past climate change is ice-rafted debris recorded in Iceland. </w:t>
      </w:r>
      <w:r w:rsidR="002F09DB">
        <w:t xml:space="preserve">The leading explanation for this influence is that changes in the sun’s UV output </w:t>
      </w:r>
      <w:r w:rsidR="00424C38">
        <w:t xml:space="preserve">alter the latitudinal temperature gradient </w:t>
      </w:r>
      <w:r w:rsidR="00661862">
        <w:t xml:space="preserve">in the stratosphere, which impacts the behavior of the </w:t>
      </w:r>
      <w:r w:rsidR="00373E77">
        <w:t xml:space="preserve">changes in the polar jet stream. Another </w:t>
      </w:r>
      <w:r w:rsidR="00CD0F02">
        <w:t>explanation is that increased light amount (irradiance) caused higher sea temperatures and stronger convective winds, which alter the latitudinal temperature gradient, w</w:t>
      </w:r>
      <w:r w:rsidR="007604ED">
        <w:t xml:space="preserve">hich alters the North Atlantic Oscillation. </w:t>
      </w:r>
      <w:r w:rsidR="00154679">
        <w:t xml:space="preserve">This paper focuses on supporting a completely new explanation for </w:t>
      </w:r>
      <w:r w:rsidR="005D6E3B">
        <w:t xml:space="preserve">solar influence on climate: that changes in irradiance alter ENSO, or the longitudinal sea surface temperature gradient in the equatorial pacific, which then affects weather trends around the world. </w:t>
      </w:r>
    </w:p>
    <w:p w14:paraId="1E9ECA65" w14:textId="28626D74" w:rsidR="00C31007" w:rsidRDefault="00F605FD" w:rsidP="00133BC8">
      <w:pPr>
        <w:pStyle w:val="ListParagraph"/>
        <w:numPr>
          <w:ilvl w:val="0"/>
          <w:numId w:val="2"/>
        </w:numPr>
        <w:spacing w:line="240" w:lineRule="auto"/>
      </w:pPr>
      <w:r>
        <w:t>Climate forcing over the Holocene</w:t>
      </w:r>
    </w:p>
    <w:p w14:paraId="15E46BB4" w14:textId="5351C661" w:rsidR="00C31007" w:rsidRDefault="00F605FD" w:rsidP="00B97554">
      <w:pPr>
        <w:spacing w:line="240" w:lineRule="auto"/>
      </w:pPr>
      <w:r>
        <w:t>There are three main external factors that affected the earth’s climate over the Holocene (</w:t>
      </w:r>
      <w:r w:rsidR="00EA318B">
        <w:t>10,000BCE to the present)</w:t>
      </w:r>
      <w:r w:rsidR="00287CCF">
        <w:t>. These factors are solar changes (sunspots), orbital changes</w:t>
      </w:r>
      <w:r w:rsidR="0072540F">
        <w:t xml:space="preserve">, and volcanic eruptions. The study did not consider volcanic eruptions, because </w:t>
      </w:r>
      <w:r w:rsidR="00D72F3E">
        <w:t>there was not adequate data available to study volcanic influence over the</w:t>
      </w:r>
      <w:r w:rsidR="00907C94">
        <w:t xml:space="preserve"> entire Holocene. The </w:t>
      </w:r>
      <w:r w:rsidR="006211AF">
        <w:t>effects of orbital changes on insolation</w:t>
      </w:r>
      <w:r w:rsidR="00907C94">
        <w:t xml:space="preserve"> over the Holocene are easy to identify and analyze. </w:t>
      </w:r>
      <w:r w:rsidR="00D70612">
        <w:t xml:space="preserve">They performed EOF (empirical orthogonal function) analysis </w:t>
      </w:r>
      <w:r w:rsidR="00F56A46">
        <w:t>to identify the changes in orbital forcing</w:t>
      </w:r>
      <w:r w:rsidR="004A16B5">
        <w:t>, precession (</w:t>
      </w:r>
      <w:r w:rsidR="00E02852">
        <w:t>rotation</w:t>
      </w:r>
      <w:r w:rsidR="004A16B5">
        <w:t xml:space="preserve"> of the earth’s axis) affected </w:t>
      </w:r>
      <w:r w:rsidR="00B11EE8">
        <w:t>the difference in insolation between opposite seasons</w:t>
      </w:r>
      <w:r w:rsidR="004A16B5">
        <w:t xml:space="preserve">, and </w:t>
      </w:r>
      <w:r w:rsidR="00B11EE8">
        <w:t xml:space="preserve">changes in obliquity (the angle of the earth’s axis) affected </w:t>
      </w:r>
      <w:r w:rsidR="00121FF6">
        <w:t xml:space="preserve">the mean insolation every year. The researchers observed the changes in solar (not orbital) forcing </w:t>
      </w:r>
      <w:r w:rsidR="005D0F59">
        <w:t xml:space="preserve">by recording the amount of certain isotopes affected by the </w:t>
      </w:r>
      <w:r w:rsidR="00CD62BE">
        <w:t xml:space="preserve">sun’s magnetic field. They then compared these records with modern records of sunspot amounts </w:t>
      </w:r>
      <w:r w:rsidR="00041BDB">
        <w:t xml:space="preserve">to </w:t>
      </w:r>
      <w:r w:rsidR="00986A87">
        <w:t>determine the amount of sunspots over the entire Holocene.</w:t>
      </w:r>
    </w:p>
    <w:p w14:paraId="07173710" w14:textId="77777777" w:rsidR="00C31007" w:rsidRDefault="00C31007" w:rsidP="00B97554">
      <w:pPr>
        <w:spacing w:line="240" w:lineRule="auto"/>
      </w:pPr>
    </w:p>
    <w:p w14:paraId="6A44B662" w14:textId="49385AD1" w:rsidR="00C31007" w:rsidRDefault="00F455C7" w:rsidP="00133BC8">
      <w:pPr>
        <w:pStyle w:val="ListParagraph"/>
        <w:numPr>
          <w:ilvl w:val="0"/>
          <w:numId w:val="2"/>
        </w:numPr>
        <w:spacing w:line="240" w:lineRule="auto"/>
      </w:pPr>
      <w:r>
        <w:t>Experimental setting</w:t>
      </w:r>
    </w:p>
    <w:p w14:paraId="1200E3C3" w14:textId="396339A0" w:rsidR="00F455C7" w:rsidRDefault="00DE2F52" w:rsidP="00B97554">
      <w:pPr>
        <w:spacing w:line="240" w:lineRule="auto"/>
      </w:pPr>
      <w:r>
        <w:t>The researchers ran a</w:t>
      </w:r>
      <w:r w:rsidR="00F20F94">
        <w:t xml:space="preserve"> moderately complex model that included simulation of the air, the </w:t>
      </w:r>
      <w:r w:rsidR="00B97554">
        <w:t>ocean,</w:t>
      </w:r>
      <w:r w:rsidR="00F20F94">
        <w:t xml:space="preserve"> and the interactions between them</w:t>
      </w:r>
      <w:r w:rsidR="00CD74AA">
        <w:t xml:space="preserve">, of only the equatorial Pacific. </w:t>
      </w:r>
      <w:r w:rsidR="003C69CD">
        <w:t>They inputted the solar forcing, orbital forcing, and a combination of the two</w:t>
      </w:r>
      <w:r w:rsidR="00456923">
        <w:t xml:space="preserve"> in three separate runs. They measured changes in the sea surface temperature over the entire timespan.</w:t>
      </w:r>
      <w:r w:rsidR="004E5E82">
        <w:t xml:space="preserve"> In order to provide an accurate simulation of climate during the Holocene, the researchers also needed to insert short-term weather noise into the model</w:t>
      </w:r>
      <w:r w:rsidR="000B7A8D">
        <w:t>.</w:t>
      </w:r>
    </w:p>
    <w:p w14:paraId="06824589" w14:textId="37B7456E" w:rsidR="000B7A8D" w:rsidRDefault="000B7A8D" w:rsidP="00133BC8">
      <w:pPr>
        <w:pStyle w:val="ListParagraph"/>
        <w:numPr>
          <w:ilvl w:val="0"/>
          <w:numId w:val="2"/>
        </w:numPr>
        <w:spacing w:line="240" w:lineRule="auto"/>
      </w:pPr>
      <w:r>
        <w:t>Results</w:t>
      </w:r>
    </w:p>
    <w:p w14:paraId="0CEF4B9B" w14:textId="2D0D642E" w:rsidR="000B7A8D" w:rsidRDefault="00E274F0" w:rsidP="00B97554">
      <w:pPr>
        <w:spacing w:line="240" w:lineRule="auto"/>
      </w:pPr>
      <w:r>
        <w:t xml:space="preserve">The dependent variable that the researchers measured was the sea surface temperature difference between the eastern and western </w:t>
      </w:r>
      <w:r w:rsidR="00FC47B7">
        <w:t>equatorial</w:t>
      </w:r>
      <w:r>
        <w:t xml:space="preserve"> </w:t>
      </w:r>
      <w:r w:rsidR="00FC47B7">
        <w:t>P</w:t>
      </w:r>
      <w:r>
        <w:t>acific.</w:t>
      </w:r>
      <w:r w:rsidR="005B32CE">
        <w:t xml:space="preserve"> </w:t>
      </w:r>
      <w:r w:rsidR="000C38CA">
        <w:t xml:space="preserve">The model simulation for only solar forcing revealed </w:t>
      </w:r>
      <w:r w:rsidR="00BF1CF8">
        <w:t xml:space="preserve">that </w:t>
      </w:r>
      <w:r w:rsidR="00285E6B">
        <w:t xml:space="preserve">their measure of ENSO is significantly connected to solar forcing. </w:t>
      </w:r>
      <w:r w:rsidR="002F7574">
        <w:t xml:space="preserve">A visualization of the amplitude of the </w:t>
      </w:r>
      <w:r w:rsidR="00CC4D33">
        <w:t>change in ENSO as related to the duration of the change</w:t>
      </w:r>
      <w:r w:rsidR="00847BC9">
        <w:t xml:space="preserve"> and the time before present reveals that there is a large spike in ENSO activity </w:t>
      </w:r>
      <w:r w:rsidR="00B54575">
        <w:t xml:space="preserve">with a duration of about 4 years. The researchers ran a control set of simulations to test </w:t>
      </w:r>
      <w:r w:rsidR="00CF06A8">
        <w:t xml:space="preserve">whether this spike is statistically significant. It revealed that the spike was a result of internal </w:t>
      </w:r>
      <w:r w:rsidR="00663530">
        <w:t xml:space="preserve">variability within the model, not solar forcing. However, </w:t>
      </w:r>
      <w:r w:rsidR="003760ED">
        <w:t xml:space="preserve">the </w:t>
      </w:r>
      <w:r w:rsidR="004F1A66">
        <w:t>temperature difference</w:t>
      </w:r>
      <w:r w:rsidR="003760ED">
        <w:t xml:space="preserve"> ha</w:t>
      </w:r>
      <w:r w:rsidR="00D73138">
        <w:t>d</w:t>
      </w:r>
      <w:r w:rsidR="003760ED">
        <w:t xml:space="preserve"> statistically significant peaks </w:t>
      </w:r>
      <w:r w:rsidR="007D075C">
        <w:t xml:space="preserve">with </w:t>
      </w:r>
      <w:r w:rsidR="00562221">
        <w:t xml:space="preserve">durations of about 500 and </w:t>
      </w:r>
      <w:r w:rsidR="00710FFF">
        <w:t xml:space="preserve">1000 years. </w:t>
      </w:r>
      <w:r w:rsidR="003E2D0D">
        <w:t xml:space="preserve">The researchers determined that the cause of this increase in activity on 500 and 1000-year timescales </w:t>
      </w:r>
      <w:r w:rsidR="007A62F3">
        <w:t xml:space="preserve">because upwelling causes the </w:t>
      </w:r>
      <w:r w:rsidR="00B96F7F">
        <w:t xml:space="preserve">western Pacific to warm faster than the eastern Pacific. </w:t>
      </w:r>
      <w:r w:rsidR="00F06BBB">
        <w:t>This warming change causes a positive feedback mechanism to create</w:t>
      </w:r>
      <w:r w:rsidR="00E122E0">
        <w:t xml:space="preserve"> a statistically significant temperature gradient. Therefore, periods of increased irradiance du</w:t>
      </w:r>
      <w:r w:rsidR="00535B6E">
        <w:t>e</w:t>
      </w:r>
      <w:r w:rsidR="00E122E0">
        <w:t xml:space="preserve"> to an absence of sunspots </w:t>
      </w:r>
      <w:r w:rsidR="0095283E">
        <w:t>induce</w:t>
      </w:r>
      <w:r w:rsidR="00535B6E">
        <w:t>d</w:t>
      </w:r>
      <w:r w:rsidR="0095283E">
        <w:t xml:space="preserve"> La Nina-like conditions </w:t>
      </w:r>
      <w:r w:rsidR="0095283E">
        <w:lastRenderedPageBreak/>
        <w:t>characterized by an increased east-west temperature gradient</w:t>
      </w:r>
      <w:r w:rsidR="00535B6E">
        <w:t>, while decreased irradiance caused Nino-like conditions.</w:t>
      </w:r>
    </w:p>
    <w:p w14:paraId="48442A56" w14:textId="294A7A9E" w:rsidR="00E963D5" w:rsidRDefault="00450815" w:rsidP="00B97554">
      <w:pPr>
        <w:spacing w:line="240" w:lineRule="auto"/>
      </w:pPr>
      <w:r>
        <w:t xml:space="preserve">The researchers performed the same analysis process on orbital forcing as solar forcing. </w:t>
      </w:r>
      <w:r w:rsidR="00624C84">
        <w:t>The climate models indicated an increase in ENSO activity</w:t>
      </w:r>
      <w:r w:rsidR="003B220E">
        <w:t xml:space="preserve"> during the second half of the Holocene. </w:t>
      </w:r>
      <w:r w:rsidR="009B073C">
        <w:t xml:space="preserve">The researchers’ explanation for this </w:t>
      </w:r>
      <w:r w:rsidR="00C94C9F">
        <w:t>increase</w:t>
      </w:r>
      <w:r w:rsidR="009B073C">
        <w:t xml:space="preserve"> is </w:t>
      </w:r>
      <w:r w:rsidR="00062B0B">
        <w:t xml:space="preserve">that </w:t>
      </w:r>
      <w:r w:rsidR="00C94C9F">
        <w:t xml:space="preserve">the observed orbital changes cause </w:t>
      </w:r>
      <w:r w:rsidR="00E1081C">
        <w:t xml:space="preserve">a more intense contrast between opposite seasons. </w:t>
      </w:r>
      <w:r w:rsidR="00AE1208">
        <w:t xml:space="preserve">Increase in seasonality causes the intertropical convergence zone to </w:t>
      </w:r>
      <w:r w:rsidR="00357323">
        <w:t>oscillate</w:t>
      </w:r>
      <w:r w:rsidR="00AE1208">
        <w:t xml:space="preserve"> a greater distance</w:t>
      </w:r>
      <w:r w:rsidR="007C6991">
        <w:t xml:space="preserve">, increasing </w:t>
      </w:r>
      <w:r w:rsidR="00357323">
        <w:t>the atmosphere’s response to</w:t>
      </w:r>
      <w:r w:rsidR="00773512">
        <w:t xml:space="preserve"> increased insolation. </w:t>
      </w:r>
      <w:r w:rsidR="004A6429">
        <w:t xml:space="preserve">Increased sunlight during the summer results in an overall cooler </w:t>
      </w:r>
      <w:r w:rsidR="007B0E92">
        <w:t>Pacific Ocean</w:t>
      </w:r>
      <w:r w:rsidR="003F04F5">
        <w:t xml:space="preserve"> through the thermostat mechanism</w:t>
      </w:r>
      <w:r w:rsidR="004A6429">
        <w:t xml:space="preserve">. </w:t>
      </w:r>
      <w:r w:rsidR="007B0E92">
        <w:t xml:space="preserve">Therefore, since during the early Holocene there was increased insolation, </w:t>
      </w:r>
      <w:r w:rsidR="00BC5414">
        <w:t>the Pacific Ocean was cooler, on average. This cooling led to a reduction in the intensity of ENSO activity.</w:t>
      </w:r>
    </w:p>
    <w:p w14:paraId="4613C013" w14:textId="586A5D30" w:rsidR="00DB62BE" w:rsidRDefault="00374F29" w:rsidP="00B97554">
      <w:pPr>
        <w:spacing w:line="240" w:lineRule="auto"/>
      </w:pPr>
      <w:r>
        <w:t xml:space="preserve">Finally, the researchers determined the influence that a combination of solar and orbital forcing has on </w:t>
      </w:r>
      <w:r w:rsidR="00F3149E">
        <w:t>ENSO activity.</w:t>
      </w:r>
      <w:r w:rsidR="00262281">
        <w:t xml:space="preserve"> T</w:t>
      </w:r>
      <w:r w:rsidR="00C925F7">
        <w:t>h</w:t>
      </w:r>
      <w:r w:rsidR="00262281">
        <w:t>e</w:t>
      </w:r>
      <w:r w:rsidR="00C925F7">
        <w:t xml:space="preserve"> wavelet spectrum</w:t>
      </w:r>
      <w:r w:rsidR="00E67436">
        <w:t xml:space="preserve"> indicated that </w:t>
      </w:r>
      <w:r w:rsidR="004620A7">
        <w:t xml:space="preserve">the </w:t>
      </w:r>
      <w:r w:rsidR="00461F0B">
        <w:t xml:space="preserve">effect of a combination of the orbital and solar forcing is approximately </w:t>
      </w:r>
      <w:r w:rsidR="00CF6A81">
        <w:t xml:space="preserve">a sum of the two independent forcings. </w:t>
      </w:r>
      <w:r w:rsidR="00CF0749">
        <w:t xml:space="preserve">The researchers then analyzed the data to be able to predict the </w:t>
      </w:r>
      <w:r w:rsidR="00DF1B43">
        <w:t xml:space="preserve">ENSO activity </w:t>
      </w:r>
      <w:r w:rsidR="00FC6174">
        <w:t xml:space="preserve">given </w:t>
      </w:r>
      <w:r w:rsidR="003D1B00">
        <w:t xml:space="preserve">the value of the solar </w:t>
      </w:r>
      <w:r w:rsidR="006F3E5C">
        <w:t>and</w:t>
      </w:r>
      <w:r w:rsidR="003D1B00">
        <w:t xml:space="preserve"> orbital forcing. </w:t>
      </w:r>
    </w:p>
    <w:p w14:paraId="0385D807" w14:textId="4B3340B4" w:rsidR="00B11827" w:rsidRDefault="00B11827" w:rsidP="00133BC8">
      <w:pPr>
        <w:pStyle w:val="ListParagraph"/>
        <w:numPr>
          <w:ilvl w:val="0"/>
          <w:numId w:val="2"/>
        </w:numPr>
        <w:spacing w:line="240" w:lineRule="auto"/>
      </w:pPr>
      <w:r>
        <w:t>Global implications</w:t>
      </w:r>
    </w:p>
    <w:p w14:paraId="08462897" w14:textId="6BB82082" w:rsidR="00B11827" w:rsidRDefault="00FE4178" w:rsidP="00B97554">
      <w:pPr>
        <w:spacing w:line="240" w:lineRule="auto"/>
      </w:pPr>
      <w:r>
        <w:t>The researchers identifie</w:t>
      </w:r>
      <w:r w:rsidR="00DC479C">
        <w:t>d</w:t>
      </w:r>
      <w:r>
        <w:t xml:space="preserve"> some of the impacts that </w:t>
      </w:r>
      <w:r w:rsidR="00E30876">
        <w:t xml:space="preserve">solar influence on ENSO had on global climate. </w:t>
      </w:r>
      <w:r w:rsidR="000809FA">
        <w:t>They used</w:t>
      </w:r>
      <w:r w:rsidR="00925E33">
        <w:t xml:space="preserve"> records of </w:t>
      </w:r>
      <w:r w:rsidR="00FE01F9">
        <w:rPr>
          <w:vertAlign w:val="superscript"/>
        </w:rPr>
        <w:t>14</w:t>
      </w:r>
      <w:r w:rsidR="00FE01F9">
        <w:t xml:space="preserve">C in </w:t>
      </w:r>
      <w:r w:rsidR="00A179BD">
        <w:t>tree rings</w:t>
      </w:r>
      <w:r w:rsidR="00647AA4">
        <w:t xml:space="preserve"> and other isotopes in speleothems</w:t>
      </w:r>
      <w:r w:rsidR="00A179BD">
        <w:t xml:space="preserve"> in North America to show that </w:t>
      </w:r>
      <w:r w:rsidR="005950DD">
        <w:t xml:space="preserve">solar-induced ENSO led </w:t>
      </w:r>
      <w:r w:rsidR="00D61C79">
        <w:t>to significant droughts du</w:t>
      </w:r>
      <w:r w:rsidR="00582EFA">
        <w:t>ring the Holocene</w:t>
      </w:r>
      <w:r w:rsidR="00B234D4">
        <w:t xml:space="preserve">. Their analysis of this connection revealed a surprisingly high degree of correlation. </w:t>
      </w:r>
      <w:r w:rsidR="00452F6A">
        <w:t xml:space="preserve">Next, they </w:t>
      </w:r>
      <w:r w:rsidR="00B91D52">
        <w:t>explained</w:t>
      </w:r>
      <w:r w:rsidR="009B3D48">
        <w:t xml:space="preserve"> the connection between solar-induced ENSO and </w:t>
      </w:r>
      <w:r w:rsidR="00855153">
        <w:t xml:space="preserve">records of </w:t>
      </w:r>
      <w:r w:rsidR="00B91D52">
        <w:t xml:space="preserve">ice-rafted debris </w:t>
      </w:r>
      <w:r w:rsidR="00855153">
        <w:t xml:space="preserve">in the North Atlantic. </w:t>
      </w:r>
      <w:r w:rsidR="006D2F48">
        <w:t xml:space="preserve">They used </w:t>
      </w:r>
      <w:r w:rsidR="00775F0C">
        <w:t>records of wind vector</w:t>
      </w:r>
      <w:r w:rsidR="001A032C">
        <w:t xml:space="preserve"> in the North Atlantic</w:t>
      </w:r>
      <w:r w:rsidR="004C7B12">
        <w:t xml:space="preserve">, </w:t>
      </w:r>
      <w:r w:rsidR="00311747">
        <w:t xml:space="preserve">records of </w:t>
      </w:r>
      <w:r w:rsidR="00597326">
        <w:t>sea surface temperature in the Pacific</w:t>
      </w:r>
      <w:r w:rsidR="00C62384">
        <w:t xml:space="preserve">, and climate </w:t>
      </w:r>
      <w:r w:rsidR="0009479C">
        <w:t xml:space="preserve">simulations to show that there is a statistically significant correlation between </w:t>
      </w:r>
      <w:r w:rsidR="0016673D">
        <w:t xml:space="preserve">ENSO and </w:t>
      </w:r>
      <w:r w:rsidR="00FF0208">
        <w:t xml:space="preserve">wind vector in the North Atlantic. </w:t>
      </w:r>
      <w:r w:rsidR="00501429">
        <w:t xml:space="preserve">Their data lacked enough accuracy to </w:t>
      </w:r>
      <w:r w:rsidR="004A204A">
        <w:t>support</w:t>
      </w:r>
      <w:r w:rsidR="00501429">
        <w:t xml:space="preserve"> genuine causality, however. </w:t>
      </w:r>
      <w:r w:rsidR="00ED5066">
        <w:t xml:space="preserve">Finally, previous research shows that </w:t>
      </w:r>
      <w:r w:rsidR="00B818B8">
        <w:t xml:space="preserve">El Niño is able to weaken the Asian monsoon. The researchers </w:t>
      </w:r>
      <w:r w:rsidR="00A84758">
        <w:t xml:space="preserve">used speleothem records from various locations in Asia to show that there is </w:t>
      </w:r>
      <w:r w:rsidR="00364B53">
        <w:t>indeed a connection between solar-induced ENSO and the monsoon.</w:t>
      </w:r>
      <w:r w:rsidR="000B7C84">
        <w:t xml:space="preserve"> There was a significant correlation between Icelandic ice-rafted debris and </w:t>
      </w:r>
      <w:r w:rsidR="00FE66B3">
        <w:t>weakened monsoons that exist</w:t>
      </w:r>
      <w:r w:rsidR="003A221F">
        <w:t>ed</w:t>
      </w:r>
      <w:r w:rsidR="00FE66B3">
        <w:t xml:space="preserve"> on a similar timescale as the variability of</w:t>
      </w:r>
      <w:r w:rsidR="003A221F">
        <w:t xml:space="preserve"> solar-induced</w:t>
      </w:r>
      <w:r w:rsidR="00FE66B3">
        <w:t xml:space="preserve"> El Nino, </w:t>
      </w:r>
      <w:r w:rsidR="003A221F">
        <w:t>showing that solar-induced ENSO is likely affecting both processes.</w:t>
      </w:r>
    </w:p>
    <w:p w14:paraId="11C3FD50" w14:textId="1C448264" w:rsidR="0094502A" w:rsidRDefault="0094502A" w:rsidP="00133BC8">
      <w:pPr>
        <w:pStyle w:val="ListParagraph"/>
        <w:numPr>
          <w:ilvl w:val="0"/>
          <w:numId w:val="2"/>
        </w:numPr>
        <w:spacing w:line="240" w:lineRule="auto"/>
      </w:pPr>
      <w:r>
        <w:t>Discussion</w:t>
      </w:r>
    </w:p>
    <w:p w14:paraId="0B4AFF89" w14:textId="504F9EB4" w:rsidR="0094502A" w:rsidRDefault="00470FDC" w:rsidP="00B97554">
      <w:pPr>
        <w:spacing w:line="240" w:lineRule="auto"/>
      </w:pPr>
      <w:r>
        <w:t>The researchers showed that solar and orbital forcing have an impact on ENSO that is not affected by internal processes</w:t>
      </w:r>
      <w:r w:rsidR="00D07CD7">
        <w:t xml:space="preserve">, and that the strength of this impact is dependent on the strength of the forcing. </w:t>
      </w:r>
      <w:r w:rsidR="00F04F54">
        <w:t xml:space="preserve">One important limitation of this study was that they used a </w:t>
      </w:r>
      <w:r w:rsidR="000E1184">
        <w:t xml:space="preserve">simplified climate model, which is not a perfect representation of actual past climate. </w:t>
      </w:r>
      <w:r w:rsidR="00BA74DE">
        <w:t xml:space="preserve">It did not include many factors, including feedback loops that may have affected their entity. </w:t>
      </w:r>
      <w:r w:rsidR="00AA1267">
        <w:t xml:space="preserve">Additionally, their use of proxy data to record </w:t>
      </w:r>
      <w:r w:rsidR="00BA089B">
        <w:t xml:space="preserve">sunspot activity is incomplete and uncertain. Additionally, their research did not include any affects from volcanic eruptions. </w:t>
      </w:r>
      <w:r w:rsidR="00533969">
        <w:t xml:space="preserve">Finally, </w:t>
      </w:r>
      <w:r w:rsidR="000550BE">
        <w:t xml:space="preserve">more data is needed to determine whether </w:t>
      </w:r>
      <w:r w:rsidR="00B034C5">
        <w:t>solar-induced ENSO affects the southern hemisphere as well as the northern.</w:t>
      </w:r>
    </w:p>
    <w:p w14:paraId="1988327D" w14:textId="1A1CD8BB" w:rsidR="002B2569" w:rsidRDefault="002B2569" w:rsidP="00133BC8">
      <w:pPr>
        <w:pStyle w:val="ListParagraph"/>
        <w:numPr>
          <w:ilvl w:val="0"/>
          <w:numId w:val="2"/>
        </w:numPr>
        <w:spacing w:line="240" w:lineRule="auto"/>
      </w:pPr>
      <w:r>
        <w:t>Conclusion</w:t>
      </w:r>
    </w:p>
    <w:p w14:paraId="5FB32C2A" w14:textId="56A501AE" w:rsidR="002B2569" w:rsidRPr="00FE01F9" w:rsidRDefault="002B2569" w:rsidP="00B97554">
      <w:pPr>
        <w:spacing w:line="240" w:lineRule="auto"/>
      </w:pPr>
      <w:r>
        <w:t xml:space="preserve">The researchers provided evidence supporting the hypothesis that </w:t>
      </w:r>
      <w:r w:rsidR="00696F69">
        <w:t xml:space="preserve">orbital and solar changes affected past climate by altering the equatorial Pacific temperature gradient. </w:t>
      </w:r>
      <w:r w:rsidR="00B6098F">
        <w:t xml:space="preserve">They found that increased irradiance brings about Nina-like periods, while reduced irradiance causes Nino-like conditions. </w:t>
      </w:r>
      <w:r w:rsidR="0057443E">
        <w:t>They showed that solar-induced ENSO had significant effects on climate processes</w:t>
      </w:r>
      <w:r w:rsidR="00B97554">
        <w:t xml:space="preserve"> around the world. However, the data used is incomplete and they used a simplified atmospheric model.</w:t>
      </w:r>
    </w:p>
    <w:p w14:paraId="423626CA" w14:textId="77777777" w:rsidR="00C31007" w:rsidRDefault="00C31007" w:rsidP="00B97554">
      <w:pPr>
        <w:spacing w:line="240" w:lineRule="auto"/>
      </w:pPr>
    </w:p>
    <w:p w14:paraId="45C2C290" w14:textId="0B1510E7" w:rsidR="00BF3A48" w:rsidRDefault="00BF3A48" w:rsidP="00B97554">
      <w:pPr>
        <w:spacing w:line="240" w:lineRule="auto"/>
        <w:rPr>
          <w:rFonts w:ascii="AdvP6975" w:eastAsia="Times New Roman" w:hAnsi="AdvP6975" w:cs="Times New Roman"/>
          <w:sz w:val="18"/>
          <w:szCs w:val="18"/>
          <w:lang w:eastAsia="zh-CN"/>
        </w:rPr>
      </w:pPr>
      <w:r>
        <w:lastRenderedPageBreak/>
        <w:t>Citation:</w:t>
      </w:r>
      <w:r w:rsidRPr="00BF3A48">
        <w:rPr>
          <w:rFonts w:ascii="AdvP6975" w:eastAsia="Times New Roman" w:hAnsi="AdvP6975" w:cs="Times New Roman"/>
          <w:sz w:val="18"/>
          <w:szCs w:val="18"/>
          <w:lang w:eastAsia="zh-CN"/>
        </w:rPr>
        <w:t xml:space="preserve"> </w:t>
      </w:r>
    </w:p>
    <w:p w14:paraId="1A8FD4F8" w14:textId="7806D2E7" w:rsidR="00C31007" w:rsidRDefault="00BF3A48" w:rsidP="00B97554">
      <w:pPr>
        <w:spacing w:line="240" w:lineRule="auto"/>
      </w:pPr>
      <w:r w:rsidRPr="00BF3A48">
        <w:t>Emile-Geay, J., M. A. Cane, R. Seager, A. Kaplan, and P. Almasi (2007), El Ni</w:t>
      </w:r>
      <w:r>
        <w:t>ñ</w:t>
      </w:r>
      <w:r w:rsidRPr="00BF3A48">
        <w:t xml:space="preserve">o as a mediator of the solar influence on climate, Paleoceanography, 22, PA3210, doi:10.1029/2006PA001304. </w:t>
      </w:r>
    </w:p>
    <w:p w14:paraId="38D5DC82" w14:textId="6E416C1E" w:rsidR="00187C75" w:rsidRDefault="00187C75" w:rsidP="00B97554">
      <w:pPr>
        <w:spacing w:line="240" w:lineRule="auto"/>
      </w:pPr>
      <w:r>
        <w:t>Questions:</w:t>
      </w:r>
    </w:p>
    <w:p w14:paraId="5EDDB900" w14:textId="1DE8A52A" w:rsidR="00187C75" w:rsidRDefault="0009739B" w:rsidP="0009739B">
      <w:pPr>
        <w:pStyle w:val="ListParagraph"/>
        <w:numPr>
          <w:ilvl w:val="0"/>
          <w:numId w:val="3"/>
        </w:numPr>
        <w:spacing w:line="240" w:lineRule="auto"/>
      </w:pPr>
      <w:r>
        <w:t xml:space="preserve">This article does not consider the impact that changes in atmospheric composition have on </w:t>
      </w:r>
      <w:r w:rsidR="00FA3D03">
        <w:t xml:space="preserve">the earth’s climate through long-term ENSO. How would </w:t>
      </w:r>
      <w:r w:rsidR="00E06BD6">
        <w:t>factors such as greenhouse gasses</w:t>
      </w:r>
      <w:r w:rsidR="00BE3308">
        <w:t xml:space="preserve"> factor into your hypothesis?</w:t>
      </w:r>
    </w:p>
    <w:p w14:paraId="493B006C" w14:textId="2CE8DC83" w:rsidR="00BE3308" w:rsidRDefault="0075459C" w:rsidP="0009739B">
      <w:pPr>
        <w:pStyle w:val="ListParagraph"/>
        <w:numPr>
          <w:ilvl w:val="0"/>
          <w:numId w:val="3"/>
        </w:numPr>
        <w:spacing w:line="240" w:lineRule="auto"/>
      </w:pPr>
      <w:r>
        <w:t xml:space="preserve">How would the principles of </w:t>
      </w:r>
      <w:r w:rsidR="001B3A2D">
        <w:t>solar/orbital forcing affecting ENSO, which affects global climate change during even earlier time periods</w:t>
      </w:r>
      <w:r w:rsidR="00ED4629">
        <w:t xml:space="preserve">, such as the Cenozoic </w:t>
      </w:r>
      <w:r w:rsidR="00E20BC8">
        <w:t xml:space="preserve">and Mesozoic </w:t>
      </w:r>
      <w:r w:rsidR="002F4E3F">
        <w:t>eras</w:t>
      </w:r>
      <w:r w:rsidR="00E20BC8">
        <w:t>?</w:t>
      </w:r>
    </w:p>
    <w:p w14:paraId="1D455DF0" w14:textId="64909F35" w:rsidR="00E20BC8" w:rsidRDefault="008C43DA" w:rsidP="0009739B">
      <w:pPr>
        <w:pStyle w:val="ListParagraph"/>
        <w:numPr>
          <w:ilvl w:val="0"/>
          <w:numId w:val="3"/>
        </w:numPr>
        <w:spacing w:line="240" w:lineRule="auto"/>
      </w:pPr>
      <w:r>
        <w:t>What do these findings reveal about climate on shorter, more recent timescales?</w:t>
      </w:r>
      <w:r w:rsidR="00D5225B">
        <w:t xml:space="preserve"> How do the effects of solar and orbital changes compare to those of </w:t>
      </w:r>
      <w:r w:rsidR="00E22431">
        <w:t>human-caused greenhouse emission?</w:t>
      </w:r>
      <w:bookmarkStart w:id="0" w:name="_GoBack"/>
      <w:bookmarkEnd w:id="0"/>
    </w:p>
    <w:sectPr w:rsidR="00E20BC8" w:rsidSect="00CB7E63">
      <w:pgSz w:w="12240" w:h="15840"/>
      <w:pgMar w:top="144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P6975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36B"/>
    <w:multiLevelType w:val="hybridMultilevel"/>
    <w:tmpl w:val="DE5C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1DB0"/>
    <w:multiLevelType w:val="hybridMultilevel"/>
    <w:tmpl w:val="65F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F7533"/>
    <w:multiLevelType w:val="hybridMultilevel"/>
    <w:tmpl w:val="8D4AC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61"/>
    <w:rsid w:val="00023644"/>
    <w:rsid w:val="00041BDB"/>
    <w:rsid w:val="00042091"/>
    <w:rsid w:val="000471B1"/>
    <w:rsid w:val="000550BE"/>
    <w:rsid w:val="00062B0B"/>
    <w:rsid w:val="00067231"/>
    <w:rsid w:val="000809FA"/>
    <w:rsid w:val="00082A51"/>
    <w:rsid w:val="0009479C"/>
    <w:rsid w:val="000970D2"/>
    <w:rsid w:val="0009739B"/>
    <w:rsid w:val="000B7A8D"/>
    <w:rsid w:val="000B7C84"/>
    <w:rsid w:val="000C38CA"/>
    <w:rsid w:val="000C3B61"/>
    <w:rsid w:val="000D4ECE"/>
    <w:rsid w:val="000E1184"/>
    <w:rsid w:val="000F7740"/>
    <w:rsid w:val="00121FF6"/>
    <w:rsid w:val="00133BC8"/>
    <w:rsid w:val="00154679"/>
    <w:rsid w:val="0016673D"/>
    <w:rsid w:val="00187C75"/>
    <w:rsid w:val="001A032C"/>
    <w:rsid w:val="001B3A2D"/>
    <w:rsid w:val="001F0696"/>
    <w:rsid w:val="00201487"/>
    <w:rsid w:val="00252CCD"/>
    <w:rsid w:val="00262281"/>
    <w:rsid w:val="00264F7B"/>
    <w:rsid w:val="00274813"/>
    <w:rsid w:val="00285E6B"/>
    <w:rsid w:val="00287CCF"/>
    <w:rsid w:val="002B2569"/>
    <w:rsid w:val="002C60BB"/>
    <w:rsid w:val="002D49D1"/>
    <w:rsid w:val="002E643B"/>
    <w:rsid w:val="002F09DB"/>
    <w:rsid w:val="002F4E3F"/>
    <w:rsid w:val="002F7574"/>
    <w:rsid w:val="00305445"/>
    <w:rsid w:val="00311747"/>
    <w:rsid w:val="00355D77"/>
    <w:rsid w:val="00357323"/>
    <w:rsid w:val="00364B53"/>
    <w:rsid w:val="00373E77"/>
    <w:rsid w:val="00374F29"/>
    <w:rsid w:val="00375B56"/>
    <w:rsid w:val="003760ED"/>
    <w:rsid w:val="003A221F"/>
    <w:rsid w:val="003B220E"/>
    <w:rsid w:val="003C1BF4"/>
    <w:rsid w:val="003C69CD"/>
    <w:rsid w:val="003D1B00"/>
    <w:rsid w:val="003E2D0D"/>
    <w:rsid w:val="003F04F5"/>
    <w:rsid w:val="00424C38"/>
    <w:rsid w:val="00450815"/>
    <w:rsid w:val="00452F6A"/>
    <w:rsid w:val="00456923"/>
    <w:rsid w:val="00461F0B"/>
    <w:rsid w:val="004620A7"/>
    <w:rsid w:val="00470FDC"/>
    <w:rsid w:val="00492629"/>
    <w:rsid w:val="004A16B5"/>
    <w:rsid w:val="004A204A"/>
    <w:rsid w:val="004A233C"/>
    <w:rsid w:val="004A6429"/>
    <w:rsid w:val="004A79BD"/>
    <w:rsid w:val="004C7B12"/>
    <w:rsid w:val="004E5E82"/>
    <w:rsid w:val="004F1A66"/>
    <w:rsid w:val="00501429"/>
    <w:rsid w:val="00507CA3"/>
    <w:rsid w:val="00533969"/>
    <w:rsid w:val="00535B6E"/>
    <w:rsid w:val="00562221"/>
    <w:rsid w:val="0057443E"/>
    <w:rsid w:val="00582EFA"/>
    <w:rsid w:val="005950DD"/>
    <w:rsid w:val="00597326"/>
    <w:rsid w:val="005B32CE"/>
    <w:rsid w:val="005D0F59"/>
    <w:rsid w:val="005D6E3B"/>
    <w:rsid w:val="006211AF"/>
    <w:rsid w:val="00624C84"/>
    <w:rsid w:val="00647AA4"/>
    <w:rsid w:val="00661862"/>
    <w:rsid w:val="00663530"/>
    <w:rsid w:val="00682981"/>
    <w:rsid w:val="00696F69"/>
    <w:rsid w:val="006D2F48"/>
    <w:rsid w:val="006F3E5C"/>
    <w:rsid w:val="00710FFF"/>
    <w:rsid w:val="00714F1F"/>
    <w:rsid w:val="0072540F"/>
    <w:rsid w:val="007323F2"/>
    <w:rsid w:val="007520E6"/>
    <w:rsid w:val="0075459C"/>
    <w:rsid w:val="007604ED"/>
    <w:rsid w:val="00773512"/>
    <w:rsid w:val="00775621"/>
    <w:rsid w:val="00775F0C"/>
    <w:rsid w:val="007A62F3"/>
    <w:rsid w:val="007B0E92"/>
    <w:rsid w:val="007C6991"/>
    <w:rsid w:val="007D075C"/>
    <w:rsid w:val="007E450F"/>
    <w:rsid w:val="0080163D"/>
    <w:rsid w:val="008351B8"/>
    <w:rsid w:val="00847BC9"/>
    <w:rsid w:val="00855153"/>
    <w:rsid w:val="008A1D72"/>
    <w:rsid w:val="008C43DA"/>
    <w:rsid w:val="008E7807"/>
    <w:rsid w:val="00907C94"/>
    <w:rsid w:val="00925E33"/>
    <w:rsid w:val="00930114"/>
    <w:rsid w:val="0094502A"/>
    <w:rsid w:val="0095283E"/>
    <w:rsid w:val="00956E27"/>
    <w:rsid w:val="00965A50"/>
    <w:rsid w:val="00986A87"/>
    <w:rsid w:val="009B073C"/>
    <w:rsid w:val="009B3D48"/>
    <w:rsid w:val="00A179BD"/>
    <w:rsid w:val="00A2155E"/>
    <w:rsid w:val="00A25976"/>
    <w:rsid w:val="00A84758"/>
    <w:rsid w:val="00A84ADE"/>
    <w:rsid w:val="00A9302B"/>
    <w:rsid w:val="00AA1267"/>
    <w:rsid w:val="00AC7AA8"/>
    <w:rsid w:val="00AE1208"/>
    <w:rsid w:val="00B034C5"/>
    <w:rsid w:val="00B11827"/>
    <w:rsid w:val="00B11EE8"/>
    <w:rsid w:val="00B222D6"/>
    <w:rsid w:val="00B234D4"/>
    <w:rsid w:val="00B45EE2"/>
    <w:rsid w:val="00B54575"/>
    <w:rsid w:val="00B6098F"/>
    <w:rsid w:val="00B818B8"/>
    <w:rsid w:val="00B91D52"/>
    <w:rsid w:val="00B96F7F"/>
    <w:rsid w:val="00B97554"/>
    <w:rsid w:val="00BA089B"/>
    <w:rsid w:val="00BA74DE"/>
    <w:rsid w:val="00BC12BE"/>
    <w:rsid w:val="00BC5414"/>
    <w:rsid w:val="00BE3308"/>
    <w:rsid w:val="00BE3F26"/>
    <w:rsid w:val="00BF1CF8"/>
    <w:rsid w:val="00BF3A48"/>
    <w:rsid w:val="00C31007"/>
    <w:rsid w:val="00C4654A"/>
    <w:rsid w:val="00C62384"/>
    <w:rsid w:val="00C65D02"/>
    <w:rsid w:val="00C925F7"/>
    <w:rsid w:val="00C94C9F"/>
    <w:rsid w:val="00CB7E63"/>
    <w:rsid w:val="00CC4D33"/>
    <w:rsid w:val="00CD0F02"/>
    <w:rsid w:val="00CD62BE"/>
    <w:rsid w:val="00CD74AA"/>
    <w:rsid w:val="00CF06A8"/>
    <w:rsid w:val="00CF0749"/>
    <w:rsid w:val="00CF6A81"/>
    <w:rsid w:val="00D04881"/>
    <w:rsid w:val="00D07CD7"/>
    <w:rsid w:val="00D50222"/>
    <w:rsid w:val="00D5225B"/>
    <w:rsid w:val="00D52A5B"/>
    <w:rsid w:val="00D61C79"/>
    <w:rsid w:val="00D70612"/>
    <w:rsid w:val="00D72F3E"/>
    <w:rsid w:val="00D73138"/>
    <w:rsid w:val="00DB62BE"/>
    <w:rsid w:val="00DC479C"/>
    <w:rsid w:val="00DD1FAF"/>
    <w:rsid w:val="00DE2F52"/>
    <w:rsid w:val="00DE740C"/>
    <w:rsid w:val="00DF1B43"/>
    <w:rsid w:val="00E02852"/>
    <w:rsid w:val="00E06BD6"/>
    <w:rsid w:val="00E1081C"/>
    <w:rsid w:val="00E122E0"/>
    <w:rsid w:val="00E20BC8"/>
    <w:rsid w:val="00E22431"/>
    <w:rsid w:val="00E274F0"/>
    <w:rsid w:val="00E30876"/>
    <w:rsid w:val="00E50B47"/>
    <w:rsid w:val="00E67436"/>
    <w:rsid w:val="00E942A4"/>
    <w:rsid w:val="00E94F69"/>
    <w:rsid w:val="00E963D5"/>
    <w:rsid w:val="00EA318B"/>
    <w:rsid w:val="00ED1554"/>
    <w:rsid w:val="00ED4629"/>
    <w:rsid w:val="00ED5066"/>
    <w:rsid w:val="00EF2C99"/>
    <w:rsid w:val="00F04F54"/>
    <w:rsid w:val="00F06BBB"/>
    <w:rsid w:val="00F20F94"/>
    <w:rsid w:val="00F3149E"/>
    <w:rsid w:val="00F455C7"/>
    <w:rsid w:val="00F56A46"/>
    <w:rsid w:val="00F605FD"/>
    <w:rsid w:val="00F74C3A"/>
    <w:rsid w:val="00FA3D03"/>
    <w:rsid w:val="00FC3395"/>
    <w:rsid w:val="00FC47B7"/>
    <w:rsid w:val="00FC6174"/>
    <w:rsid w:val="00FE01F9"/>
    <w:rsid w:val="00FE4178"/>
    <w:rsid w:val="00FE66B3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BF39"/>
  <w15:chartTrackingRefBased/>
  <w15:docId w15:val="{D735FA55-5229-43E9-B5B2-B92F8883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323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F3A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2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D337364D82049B7626D4B17F726D6" ma:contentTypeVersion="12" ma:contentTypeDescription="Create a new document." ma:contentTypeScope="" ma:versionID="e3fac9a7546e204b33524b527bd45d9f">
  <xsd:schema xmlns:xsd="http://www.w3.org/2001/XMLSchema" xmlns:xs="http://www.w3.org/2001/XMLSchema" xmlns:p="http://schemas.microsoft.com/office/2006/metadata/properties" xmlns:ns3="49bf48b2-6ffb-4256-bb7a-2a82e184e738" xmlns:ns4="a194793b-aa6b-4e39-b6c8-68a9388513f3" targetNamespace="http://schemas.microsoft.com/office/2006/metadata/properties" ma:root="true" ma:fieldsID="77c59825127f5f0461924b33eea7ffa8" ns3:_="" ns4:_="">
    <xsd:import namespace="49bf48b2-6ffb-4256-bb7a-2a82e184e738"/>
    <xsd:import namespace="a194793b-aa6b-4e39-b6c8-68a9388513f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f48b2-6ffb-4256-bb7a-2a82e184e73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793b-aa6b-4e39-b6c8-68a938851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53A488-F073-4F5E-B7B6-17D5AD090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f48b2-6ffb-4256-bb7a-2a82e184e738"/>
    <ds:schemaRef ds:uri="a194793b-aa6b-4e39-b6c8-68a938851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C17DE9-1A61-44BF-AB95-76829FD471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84D7E8-D947-4A33-9084-5DF5888540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</Pages>
  <Words>1468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217</cp:revision>
  <dcterms:created xsi:type="dcterms:W3CDTF">2019-11-15T13:27:00Z</dcterms:created>
  <dcterms:modified xsi:type="dcterms:W3CDTF">2019-11-22T00:19:00Z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0x010100A28D337364D82049B7626D4B17F726D6</vt:lpwstr>
  </property>
</Properties>
</file>