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6"/>
        <w:gridCol w:w="3117"/>
        <w:gridCol w:w="3482"/>
      </w:tblGrid>
      <w:tr w:rsidR="00642193" w14:paraId="40F27C2B" w14:textId="77777777" w:rsidTr="008C7F3F">
        <w:tc>
          <w:tcPr>
            <w:tcW w:w="3116" w:type="dxa"/>
          </w:tcPr>
          <w:p w14:paraId="5221E50D" w14:textId="52E551D5" w:rsidR="00642193" w:rsidRDefault="00642193" w:rsidP="008C7F3F">
            <w:r>
              <w:t>Word</w:t>
            </w:r>
          </w:p>
        </w:tc>
        <w:tc>
          <w:tcPr>
            <w:tcW w:w="3117" w:type="dxa"/>
          </w:tcPr>
          <w:p w14:paraId="795D1563" w14:textId="79249F70" w:rsidR="00642193" w:rsidRDefault="00642193" w:rsidP="008C7F3F">
            <w:r>
              <w:t>Definition</w:t>
            </w:r>
          </w:p>
        </w:tc>
        <w:tc>
          <w:tcPr>
            <w:tcW w:w="3482" w:type="dxa"/>
          </w:tcPr>
          <w:p w14:paraId="030A65DD" w14:textId="6F929C46" w:rsidR="00642193" w:rsidRDefault="00642193" w:rsidP="008C7F3F">
            <w:r>
              <w:t>Source</w:t>
            </w:r>
          </w:p>
        </w:tc>
      </w:tr>
      <w:tr w:rsidR="00642193" w14:paraId="31F478DC" w14:textId="77777777" w:rsidTr="008C7F3F">
        <w:tc>
          <w:tcPr>
            <w:tcW w:w="3116" w:type="dxa"/>
          </w:tcPr>
          <w:p w14:paraId="31924FE5" w14:textId="77FF0FCE" w:rsidR="00642193" w:rsidRDefault="00642193" w:rsidP="008C7F3F">
            <w:r>
              <w:t>Quiescence</w:t>
            </w:r>
          </w:p>
        </w:tc>
        <w:tc>
          <w:tcPr>
            <w:tcW w:w="3117" w:type="dxa"/>
          </w:tcPr>
          <w:p w14:paraId="550FDF9A" w14:textId="4B05C9F3" w:rsidR="00642193" w:rsidRDefault="004C0DBD" w:rsidP="008C7F3F">
            <w:r>
              <w:t>Dormancy</w:t>
            </w:r>
          </w:p>
        </w:tc>
        <w:tc>
          <w:tcPr>
            <w:tcW w:w="3482" w:type="dxa"/>
          </w:tcPr>
          <w:p w14:paraId="5D0207DC" w14:textId="55B34E74" w:rsidR="00642193" w:rsidRDefault="00B22451" w:rsidP="008C7F3F">
            <w:r>
              <w:t>Oxford dictionary</w:t>
            </w:r>
          </w:p>
        </w:tc>
      </w:tr>
      <w:tr w:rsidR="00642193" w14:paraId="31A1FA46" w14:textId="77777777" w:rsidTr="008C7F3F">
        <w:tc>
          <w:tcPr>
            <w:tcW w:w="3116" w:type="dxa"/>
          </w:tcPr>
          <w:p w14:paraId="0ACD6605" w14:textId="66374B12" w:rsidR="00642193" w:rsidRDefault="00642193" w:rsidP="008C7F3F">
            <w:r>
              <w:t>Pacific cold tongue</w:t>
            </w:r>
          </w:p>
        </w:tc>
        <w:tc>
          <w:tcPr>
            <w:tcW w:w="3117" w:type="dxa"/>
          </w:tcPr>
          <w:p w14:paraId="04CF75FB" w14:textId="288F47DB" w:rsidR="00642193" w:rsidRDefault="008C0080" w:rsidP="008C7F3F">
            <w:r>
              <w:t>A patch of cold water in the Pacific created by ENSO</w:t>
            </w:r>
          </w:p>
        </w:tc>
        <w:tc>
          <w:tcPr>
            <w:tcW w:w="3482" w:type="dxa"/>
          </w:tcPr>
          <w:p w14:paraId="25EDDF73" w14:textId="43B8C0E6" w:rsidR="00642193" w:rsidRDefault="008C0080" w:rsidP="008C7F3F">
            <w:r>
              <w:t>Wikipedia</w:t>
            </w:r>
          </w:p>
        </w:tc>
      </w:tr>
      <w:tr w:rsidR="00642193" w14:paraId="13DD4153" w14:textId="77777777" w:rsidTr="008C7F3F">
        <w:tc>
          <w:tcPr>
            <w:tcW w:w="3116" w:type="dxa"/>
          </w:tcPr>
          <w:p w14:paraId="2E0B0B73" w14:textId="4D56E323" w:rsidR="00642193" w:rsidRDefault="000109A1" w:rsidP="008C7F3F">
            <w:r>
              <w:t>Conceptual model</w:t>
            </w:r>
          </w:p>
        </w:tc>
        <w:tc>
          <w:tcPr>
            <w:tcW w:w="3117" w:type="dxa"/>
          </w:tcPr>
          <w:p w14:paraId="78C30135" w14:textId="1998A7B9" w:rsidR="00642193" w:rsidRDefault="00DF6487" w:rsidP="008C7F3F">
            <w:r>
              <w:t>A model of the earth’s atmosphere based on interacting equations</w:t>
            </w:r>
          </w:p>
        </w:tc>
        <w:tc>
          <w:tcPr>
            <w:tcW w:w="3482" w:type="dxa"/>
          </w:tcPr>
          <w:p w14:paraId="6C124490" w14:textId="1376B8FD" w:rsidR="00642193" w:rsidRDefault="00DF6487" w:rsidP="008C7F3F">
            <w:r>
              <w:t>Article/Wikipedia</w:t>
            </w:r>
          </w:p>
        </w:tc>
      </w:tr>
      <w:tr w:rsidR="00642193" w14:paraId="19A52B3F" w14:textId="77777777" w:rsidTr="008C7F3F">
        <w:tc>
          <w:tcPr>
            <w:tcW w:w="3116" w:type="dxa"/>
          </w:tcPr>
          <w:p w14:paraId="2A1FCE1E" w14:textId="1EAE5DFA" w:rsidR="00642193" w:rsidRDefault="00DE56D4" w:rsidP="008C7F3F">
            <w:r>
              <w:t>Spring Persistence barrier</w:t>
            </w:r>
          </w:p>
        </w:tc>
        <w:tc>
          <w:tcPr>
            <w:tcW w:w="3117" w:type="dxa"/>
          </w:tcPr>
          <w:p w14:paraId="21331AE2" w14:textId="678485E2" w:rsidR="00642193" w:rsidRDefault="00E5080F" w:rsidP="008C7F3F">
            <w:r>
              <w:t>Reduction in predictability depending on time of calculation</w:t>
            </w:r>
          </w:p>
        </w:tc>
        <w:tc>
          <w:tcPr>
            <w:tcW w:w="3482" w:type="dxa"/>
          </w:tcPr>
          <w:p w14:paraId="409B1C9B" w14:textId="07C5CF60" w:rsidR="00642193" w:rsidRDefault="00617693" w:rsidP="008C7F3F">
            <w:r>
              <w:t>Article</w:t>
            </w:r>
          </w:p>
        </w:tc>
      </w:tr>
      <w:tr w:rsidR="00642193" w14:paraId="7B87FF82" w14:textId="77777777" w:rsidTr="008C7F3F">
        <w:tc>
          <w:tcPr>
            <w:tcW w:w="3116" w:type="dxa"/>
          </w:tcPr>
          <w:p w14:paraId="7078C78E" w14:textId="0C2ECCD1" w:rsidR="00642193" w:rsidRDefault="00DE56D4" w:rsidP="008C7F3F">
            <w:proofErr w:type="spellStart"/>
            <w:r>
              <w:t>Bjerknes</w:t>
            </w:r>
            <w:proofErr w:type="spellEnd"/>
            <w:r>
              <w:t xml:space="preserve"> instability index</w:t>
            </w:r>
          </w:p>
        </w:tc>
        <w:tc>
          <w:tcPr>
            <w:tcW w:w="3117" w:type="dxa"/>
          </w:tcPr>
          <w:p w14:paraId="648C9136" w14:textId="658E6A93" w:rsidR="00642193" w:rsidRDefault="00251CFB" w:rsidP="008C7F3F">
            <w:r>
              <w:t xml:space="preserve">Equation to determine </w:t>
            </w:r>
            <w:r w:rsidR="00FF22A9">
              <w:t>ENSO stability</w:t>
            </w:r>
          </w:p>
        </w:tc>
        <w:tc>
          <w:tcPr>
            <w:tcW w:w="3482" w:type="dxa"/>
          </w:tcPr>
          <w:p w14:paraId="7FABC3EB" w14:textId="0761FA0D" w:rsidR="00642193" w:rsidRDefault="00FF22A9" w:rsidP="008C7F3F">
            <w:r>
              <w:t>Article</w:t>
            </w:r>
          </w:p>
        </w:tc>
      </w:tr>
      <w:tr w:rsidR="00642193" w14:paraId="5CBB4AFC" w14:textId="77777777" w:rsidTr="008C7F3F">
        <w:tc>
          <w:tcPr>
            <w:tcW w:w="3116" w:type="dxa"/>
          </w:tcPr>
          <w:p w14:paraId="2B622938" w14:textId="5C38D0FF" w:rsidR="00642193" w:rsidRDefault="00DE56D4" w:rsidP="008C7F3F">
            <w:r>
              <w:t>Autocorrelation</w:t>
            </w:r>
          </w:p>
        </w:tc>
        <w:tc>
          <w:tcPr>
            <w:tcW w:w="3117" w:type="dxa"/>
          </w:tcPr>
          <w:p w14:paraId="6FD42115" w14:textId="186353AF" w:rsidR="00642193" w:rsidRDefault="00617693" w:rsidP="008C7F3F">
            <w:r>
              <w:t xml:space="preserve">Measuring correlation of </w:t>
            </w:r>
            <w:r w:rsidR="00A1418F">
              <w:t>a dataset with an offset version of itself</w:t>
            </w:r>
          </w:p>
        </w:tc>
        <w:tc>
          <w:tcPr>
            <w:tcW w:w="3482" w:type="dxa"/>
          </w:tcPr>
          <w:p w14:paraId="3806175E" w14:textId="0F89C646" w:rsidR="00642193" w:rsidRDefault="00604167" w:rsidP="008C7F3F">
            <w:r>
              <w:t>Wikipedia</w:t>
            </w:r>
          </w:p>
        </w:tc>
      </w:tr>
      <w:tr w:rsidR="00642193" w14:paraId="46885240" w14:textId="77777777" w:rsidTr="008C7F3F">
        <w:tc>
          <w:tcPr>
            <w:tcW w:w="3116" w:type="dxa"/>
          </w:tcPr>
          <w:p w14:paraId="18389D96" w14:textId="4D383C8C" w:rsidR="00642193" w:rsidRDefault="00F17068" w:rsidP="008C7F3F">
            <w:r>
              <w:t>Stochastic</w:t>
            </w:r>
          </w:p>
        </w:tc>
        <w:tc>
          <w:tcPr>
            <w:tcW w:w="3117" w:type="dxa"/>
          </w:tcPr>
          <w:p w14:paraId="4F023685" w14:textId="07674278" w:rsidR="00642193" w:rsidRDefault="00604167" w:rsidP="008C7F3F">
            <w:r>
              <w:t>Random</w:t>
            </w:r>
          </w:p>
        </w:tc>
        <w:tc>
          <w:tcPr>
            <w:tcW w:w="3482" w:type="dxa"/>
          </w:tcPr>
          <w:p w14:paraId="22F25A8B" w14:textId="316ACB68" w:rsidR="00642193" w:rsidRDefault="00604167" w:rsidP="008C7F3F">
            <w:r>
              <w:t>Oxford dictionary</w:t>
            </w:r>
          </w:p>
        </w:tc>
      </w:tr>
      <w:tr w:rsidR="00F17068" w14:paraId="1C4008C3" w14:textId="77777777" w:rsidTr="008C7F3F">
        <w:tc>
          <w:tcPr>
            <w:tcW w:w="3116" w:type="dxa"/>
          </w:tcPr>
          <w:p w14:paraId="5397AD79" w14:textId="129F3A89" w:rsidR="00F17068" w:rsidRDefault="000253FC" w:rsidP="008C7F3F">
            <w:r>
              <w:t>Recharge oscillator</w:t>
            </w:r>
          </w:p>
        </w:tc>
        <w:tc>
          <w:tcPr>
            <w:tcW w:w="3117" w:type="dxa"/>
          </w:tcPr>
          <w:p w14:paraId="7CE6D3AB" w14:textId="681D497D" w:rsidR="00F17068" w:rsidRDefault="00BC3AF6" w:rsidP="008C7F3F">
            <w:r>
              <w:t>Equation that mo</w:t>
            </w:r>
            <w:r w:rsidR="00D61DB8">
              <w:t>dels ENSO activity</w:t>
            </w:r>
          </w:p>
        </w:tc>
        <w:tc>
          <w:tcPr>
            <w:tcW w:w="3482" w:type="dxa"/>
          </w:tcPr>
          <w:p w14:paraId="3E5349B9" w14:textId="35201619" w:rsidR="00F17068" w:rsidRDefault="0029188B" w:rsidP="008C7F3F"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Burgers, G.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 </w:t>
            </w:r>
            <w:proofErr w:type="spellStart"/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Jin</w:t>
            </w:r>
            <w:proofErr w:type="spellEnd"/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 F.</w:t>
            </w:r>
            <w:r>
              <w:rPr>
                <w:rStyle w:val="author"/>
                <w:rFonts w:ascii="Cambria Math" w:hAnsi="Cambria Math" w:cs="Cambria Math"/>
                <w:color w:val="1C1D1E"/>
                <w:sz w:val="21"/>
                <w:szCs w:val="21"/>
                <w:shd w:val="clear" w:color="auto" w:fill="FFFFFF"/>
              </w:rPr>
              <w:t>‐</w:t>
            </w:r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F.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 and </w:t>
            </w:r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 xml:space="preserve">van </w:t>
            </w:r>
            <w:proofErr w:type="spellStart"/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Oldenborgh</w:t>
            </w:r>
            <w:proofErr w:type="spellEnd"/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 G. J.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( </w:t>
            </w:r>
            <w:r>
              <w:rPr>
                <w:rStyle w:val="pubyea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2005</w:t>
            </w:r>
            <w:proofErr w:type="gramEnd"/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), </w:t>
            </w:r>
            <w:r>
              <w:rPr>
                <w:rStyle w:val="articletitle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The simplest ENSO recharge oscillator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 </w:t>
            </w:r>
            <w:proofErr w:type="spellStart"/>
            <w:r>
              <w:rPr>
                <w:rFonts w:ascii="Arial" w:hAnsi="Arial" w:cs="Arial"/>
                <w:i/>
                <w:iCs/>
                <w:color w:val="1C1D1E"/>
                <w:sz w:val="21"/>
                <w:szCs w:val="21"/>
                <w:shd w:val="clear" w:color="auto" w:fill="FFFFFF"/>
              </w:rPr>
              <w:t>Geophys</w:t>
            </w:r>
            <w:proofErr w:type="spellEnd"/>
            <w:r>
              <w:rPr>
                <w:rFonts w:ascii="Arial" w:hAnsi="Arial" w:cs="Arial"/>
                <w:i/>
                <w:iCs/>
                <w:color w:val="1C1D1E"/>
                <w:sz w:val="21"/>
                <w:szCs w:val="21"/>
                <w:shd w:val="clear" w:color="auto" w:fill="FFFFFF"/>
              </w:rPr>
              <w:t>. Res. Lett.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 </w:t>
            </w:r>
            <w:r>
              <w:rPr>
                <w:rStyle w:val="vol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 L13706, doi:</w:t>
            </w:r>
            <w:hyperlink r:id="rId8" w:tgtFrame="_blank" w:tooltip="Link to external resource: 10.1029/2005GL022951" w:history="1">
              <w:r>
                <w:rPr>
                  <w:rStyle w:val="Hyperlink"/>
                  <w:rFonts w:ascii="Arial" w:hAnsi="Arial" w:cs="Arial"/>
                  <w:color w:val="005274"/>
                  <w:sz w:val="21"/>
                  <w:szCs w:val="21"/>
                  <w:u w:val="none"/>
                  <w:shd w:val="clear" w:color="auto" w:fill="FFFFFF"/>
                </w:rPr>
                <w:t>10.1029/2005GL022951</w:t>
              </w:r>
            </w:hyperlink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17068" w14:paraId="14200E15" w14:textId="77777777" w:rsidTr="008C7F3F">
        <w:tc>
          <w:tcPr>
            <w:tcW w:w="3116" w:type="dxa"/>
          </w:tcPr>
          <w:p w14:paraId="59A92538" w14:textId="7DAE4A65" w:rsidR="00F17068" w:rsidRDefault="0018310F" w:rsidP="008C7F3F">
            <w:r>
              <w:t>Red noise</w:t>
            </w:r>
          </w:p>
        </w:tc>
        <w:tc>
          <w:tcPr>
            <w:tcW w:w="3117" w:type="dxa"/>
          </w:tcPr>
          <w:p w14:paraId="4905B733" w14:textId="64A4BF1B" w:rsidR="00F17068" w:rsidRDefault="004B0806" w:rsidP="008C7F3F">
            <w:r>
              <w:t>Noise created with higher amplitude at lower frequencies</w:t>
            </w:r>
          </w:p>
        </w:tc>
        <w:tc>
          <w:tcPr>
            <w:tcW w:w="3482" w:type="dxa"/>
          </w:tcPr>
          <w:p w14:paraId="7B5201E8" w14:textId="546B1B9E" w:rsidR="00F17068" w:rsidRDefault="00455CBC" w:rsidP="008C7F3F">
            <w:r>
              <w:t>Wikipedia</w:t>
            </w:r>
          </w:p>
        </w:tc>
      </w:tr>
    </w:tbl>
    <w:p w14:paraId="76E94AA1" w14:textId="77777777" w:rsidR="00125C83" w:rsidRDefault="00125C83" w:rsidP="00125C83">
      <w:pPr>
        <w:spacing w:line="360" w:lineRule="auto"/>
      </w:pPr>
    </w:p>
    <w:p w14:paraId="49E06A15" w14:textId="77777777" w:rsidR="00125C83" w:rsidRDefault="00125C83" w:rsidP="00125C83">
      <w:pPr>
        <w:spacing w:line="360" w:lineRule="auto"/>
      </w:pPr>
    </w:p>
    <w:p w14:paraId="17C18D4D" w14:textId="77777777" w:rsidR="00125C83" w:rsidRDefault="00125C83" w:rsidP="00125C83">
      <w:pPr>
        <w:spacing w:line="360" w:lineRule="auto"/>
      </w:pPr>
    </w:p>
    <w:p w14:paraId="4D602306" w14:textId="7EEF8C67" w:rsidR="00125C83" w:rsidRDefault="008C7F3F" w:rsidP="00125C83">
      <w:pPr>
        <w:spacing w:line="360" w:lineRule="auto"/>
      </w:pPr>
      <w:r>
        <w:t xml:space="preserve">Levine, A. F. Z., M. J. </w:t>
      </w:r>
      <w:proofErr w:type="spellStart"/>
      <w:r>
        <w:t>McPhaden</w:t>
      </w:r>
      <w:proofErr w:type="spellEnd"/>
      <w:r>
        <w:t xml:space="preserve">, and D. M. </w:t>
      </w:r>
      <w:proofErr w:type="spellStart"/>
      <w:proofErr w:type="gramStart"/>
      <w:r>
        <w:t>W.Frierson</w:t>
      </w:r>
      <w:proofErr w:type="spellEnd"/>
      <w:proofErr w:type="gramEnd"/>
      <w:r>
        <w:t xml:space="preserve"> (2017), The impact of the AMO on multidecadal ENSO variability, </w:t>
      </w:r>
      <w:proofErr w:type="spellStart"/>
      <w:r>
        <w:t>Geophys</w:t>
      </w:r>
      <w:proofErr w:type="spellEnd"/>
      <w:r>
        <w:t>. Res. Lett.,</w:t>
      </w:r>
      <w:r>
        <w:t xml:space="preserve"> </w:t>
      </w:r>
      <w:r>
        <w:t>44, 3877–3886, doi:10.1002/ 2017GL072524.</w:t>
      </w:r>
    </w:p>
    <w:p w14:paraId="46EA3D62" w14:textId="2341BD15" w:rsidR="008C7F3F" w:rsidRDefault="008C7F3F" w:rsidP="00125C83">
      <w:pPr>
        <w:spacing w:line="360" w:lineRule="auto"/>
      </w:pPr>
    </w:p>
    <w:p w14:paraId="2BFF985C" w14:textId="0784D113" w:rsidR="008C7F3F" w:rsidRDefault="008C7F3F" w:rsidP="00125C83">
      <w:pPr>
        <w:spacing w:line="360" w:lineRule="auto"/>
      </w:pPr>
    </w:p>
    <w:p w14:paraId="0D557C9A" w14:textId="2399EA5A" w:rsidR="008C7F3F" w:rsidRDefault="008C7F3F" w:rsidP="00125C83">
      <w:pPr>
        <w:spacing w:line="360" w:lineRule="auto"/>
      </w:pPr>
    </w:p>
    <w:p w14:paraId="62C04055" w14:textId="0470DB38" w:rsidR="008C7F3F" w:rsidRDefault="008C7F3F" w:rsidP="00125C83">
      <w:pPr>
        <w:spacing w:line="360" w:lineRule="auto"/>
      </w:pPr>
    </w:p>
    <w:p w14:paraId="78969AC1" w14:textId="44BBCCC8" w:rsidR="008C7F3F" w:rsidRDefault="008C7F3F" w:rsidP="00125C83">
      <w:pPr>
        <w:spacing w:line="360" w:lineRule="auto"/>
      </w:pPr>
    </w:p>
    <w:p w14:paraId="73ABF96F" w14:textId="278CFCEE" w:rsidR="008C7F3F" w:rsidRDefault="008C7F3F" w:rsidP="00125C83">
      <w:pPr>
        <w:spacing w:line="360" w:lineRule="auto"/>
      </w:pPr>
    </w:p>
    <w:p w14:paraId="66CFF5A0" w14:textId="77777777" w:rsidR="008C7F3F" w:rsidRDefault="008C7F3F" w:rsidP="00125C83">
      <w:pPr>
        <w:spacing w:line="360" w:lineRule="auto"/>
      </w:pPr>
      <w:bookmarkStart w:id="0" w:name="_GoBack"/>
      <w:bookmarkEnd w:id="0"/>
    </w:p>
    <w:p w14:paraId="242F84B0" w14:textId="2B934F90" w:rsidR="00961410" w:rsidRDefault="009A2564" w:rsidP="00125C83">
      <w:pPr>
        <w:spacing w:line="360" w:lineRule="auto"/>
      </w:pPr>
      <w:r>
        <w:lastRenderedPageBreak/>
        <w:t>Introduction:</w:t>
      </w:r>
    </w:p>
    <w:p w14:paraId="1E544790" w14:textId="6E9FE193" w:rsidR="003344F5" w:rsidRDefault="00040F23" w:rsidP="00125C83">
      <w:pPr>
        <w:spacing w:line="360" w:lineRule="auto"/>
      </w:pPr>
      <w:r>
        <w:t>ENSO</w:t>
      </w:r>
      <w:r w:rsidR="002B78CF">
        <w:t xml:space="preserve"> (El Niño Southern Oscillation)</w:t>
      </w:r>
      <w:r>
        <w:t xml:space="preserve"> has been shown to vary on multidecadal timescales. </w:t>
      </w:r>
      <w:r w:rsidR="00643D64">
        <w:t xml:space="preserve">The </w:t>
      </w:r>
      <w:r w:rsidR="00043DC9">
        <w:t xml:space="preserve">leading explanation for this </w:t>
      </w:r>
      <w:r w:rsidR="001E164C">
        <w:t xml:space="preserve">change in activity is that ENSO is affected by the </w:t>
      </w:r>
      <w:r w:rsidR="002B78CF">
        <w:t xml:space="preserve">AMO (Atlantic Multidecadal Oscillation). </w:t>
      </w:r>
      <w:r w:rsidR="00C6766E">
        <w:t xml:space="preserve">However, there is some uncertainty around this hypothesis, as </w:t>
      </w:r>
      <w:r w:rsidR="009A7CC1">
        <w:t xml:space="preserve">given the long timescale of the AMO cycle, few </w:t>
      </w:r>
      <w:r w:rsidR="00A11375">
        <w:t xml:space="preserve">cycles have been observed in </w:t>
      </w:r>
      <w:proofErr w:type="spellStart"/>
      <w:r w:rsidR="00326FCD">
        <w:t>precollected</w:t>
      </w:r>
      <w:proofErr w:type="spellEnd"/>
      <w:r w:rsidR="00326FCD">
        <w:t xml:space="preserve"> data. Consequently, </w:t>
      </w:r>
      <w:r w:rsidR="002D7FD7">
        <w:t xml:space="preserve">a few studies have proven that the observed multidecadal variability in ENSO activity could be simply random. </w:t>
      </w:r>
      <w:r w:rsidR="00B720C8">
        <w:t xml:space="preserve">Some of the recent changes observed in ENSO activity </w:t>
      </w:r>
      <w:r w:rsidR="002606D4">
        <w:t xml:space="preserve">are a recent reduction in average ENSO strength and </w:t>
      </w:r>
      <w:r w:rsidR="00632BED">
        <w:t>frequency</w:t>
      </w:r>
      <w:r w:rsidR="00400744">
        <w:t xml:space="preserve">. </w:t>
      </w:r>
      <w:r w:rsidR="001E1271">
        <w:t xml:space="preserve">Another </w:t>
      </w:r>
      <w:r w:rsidR="00371F2F">
        <w:t xml:space="preserve">change observed is a </w:t>
      </w:r>
      <w:r w:rsidR="002D4615">
        <w:t xml:space="preserve">cooling of the Pacific cold tongue. </w:t>
      </w:r>
      <w:r w:rsidR="002F5D6B">
        <w:t xml:space="preserve">The Pacific cold tongue is </w:t>
      </w:r>
      <w:r w:rsidR="001956E3">
        <w:t xml:space="preserve">a pool of cold water formed in </w:t>
      </w:r>
      <w:r w:rsidR="003E2D46">
        <w:t>the eastern Pacific by upwelling</w:t>
      </w:r>
      <w:r w:rsidR="00F527A6">
        <w:t>.</w:t>
      </w:r>
      <w:r w:rsidR="00944B31">
        <w:t xml:space="preserve"> </w:t>
      </w:r>
      <w:r w:rsidR="00C70187">
        <w:t xml:space="preserve">One </w:t>
      </w:r>
      <w:r w:rsidR="006512DD">
        <w:t>viable way</w:t>
      </w:r>
      <w:r w:rsidR="00C70187">
        <w:t xml:space="preserve"> that</w:t>
      </w:r>
      <w:r w:rsidR="00C85F70">
        <w:t xml:space="preserve"> an Atlantic</w:t>
      </w:r>
      <w:r w:rsidR="00575DBA">
        <w:t xml:space="preserve"> multidecadal cycle could impact ENSO is though strengthening </w:t>
      </w:r>
      <w:r w:rsidR="006961EF">
        <w:t xml:space="preserve">trade winds. </w:t>
      </w:r>
      <w:r w:rsidR="00A5134B">
        <w:t xml:space="preserve">Given the shored timespan of observed SST (sea </w:t>
      </w:r>
      <w:r w:rsidR="00983CF4">
        <w:t xml:space="preserve">surface </w:t>
      </w:r>
      <w:r w:rsidR="00F2105D">
        <w:t>temperature) data compar</w:t>
      </w:r>
      <w:r w:rsidR="00C04149">
        <w:t xml:space="preserve">ed to the length of the AMO cycle, this </w:t>
      </w:r>
      <w:r w:rsidR="003A3ECE">
        <w:t xml:space="preserve">study will support the relationship between the AMO and ENSO through </w:t>
      </w:r>
      <w:r w:rsidR="00C152BE">
        <w:t xml:space="preserve">a conceptual model of interacting equations and a computer climate simulation, as opposed to looking for statistical </w:t>
      </w:r>
      <w:r w:rsidR="00D21E31">
        <w:t>patterns in observed data.</w:t>
      </w:r>
    </w:p>
    <w:p w14:paraId="5DA5E705" w14:textId="6A289ECF" w:rsidR="005C5E21" w:rsidRDefault="005C5E21" w:rsidP="00125C83">
      <w:pPr>
        <w:spacing w:line="360" w:lineRule="auto"/>
      </w:pPr>
      <w:r>
        <w:t>2. Data and methods:</w:t>
      </w:r>
    </w:p>
    <w:p w14:paraId="0183EB07" w14:textId="6485E6E7" w:rsidR="00843F48" w:rsidRDefault="00B72698" w:rsidP="00125C83">
      <w:pPr>
        <w:spacing w:line="360" w:lineRule="auto"/>
      </w:pPr>
      <w:r>
        <w:t xml:space="preserve">The study used many different data sources. They </w:t>
      </w:r>
      <w:r w:rsidR="00396968">
        <w:t>used a</w:t>
      </w:r>
      <w:r w:rsidR="008A1209">
        <w:t>n</w:t>
      </w:r>
      <w:r w:rsidR="00396968">
        <w:t xml:space="preserve"> SST reconstruction </w:t>
      </w:r>
      <w:r w:rsidR="00B46B43">
        <w:t xml:space="preserve">from NOAA’s ICOADS project, </w:t>
      </w:r>
      <w:r w:rsidR="009F1AF4">
        <w:t>a</w:t>
      </w:r>
      <w:r w:rsidR="00F10D9E">
        <w:t xml:space="preserve">n ocean reanalysis providing data for water temperature </w:t>
      </w:r>
      <w:r w:rsidR="001A446E">
        <w:t xml:space="preserve">at certain depths. </w:t>
      </w:r>
      <w:r w:rsidR="00327A76">
        <w:t xml:space="preserve">Additionally, they used </w:t>
      </w:r>
      <w:r w:rsidR="00AE4275">
        <w:t xml:space="preserve">SST data from certain islands to check the results of the </w:t>
      </w:r>
      <w:r w:rsidR="008A1209">
        <w:t xml:space="preserve">reanalysis datasets. </w:t>
      </w:r>
      <w:r w:rsidR="000C13F6">
        <w:t xml:space="preserve">Their study is based on </w:t>
      </w:r>
      <w:r w:rsidR="00F5376F">
        <w:t>2 different ways to measure the impact that AMO has on ENS), the spring persistence barrier</w:t>
      </w:r>
      <w:r w:rsidR="00572B24">
        <w:t xml:space="preserve"> and the </w:t>
      </w:r>
      <w:proofErr w:type="spellStart"/>
      <w:r w:rsidR="00572B24">
        <w:t>Bjerknes</w:t>
      </w:r>
      <w:proofErr w:type="spellEnd"/>
      <w:r w:rsidR="00572B24">
        <w:t xml:space="preserve"> Instability Index. </w:t>
      </w:r>
      <w:r w:rsidR="00917BC8">
        <w:t xml:space="preserve">The spring persistence barrier is a measurement of how predictable ENSO is at different times of year, given by comparing the autocorrelation of Pacific SST data </w:t>
      </w:r>
      <w:r w:rsidR="00FD1C29">
        <w:t xml:space="preserve">at different lag-times. </w:t>
      </w:r>
      <w:r w:rsidR="00715B79">
        <w:t xml:space="preserve">The </w:t>
      </w:r>
      <w:proofErr w:type="spellStart"/>
      <w:r w:rsidR="00715B79">
        <w:t>Bjerknes</w:t>
      </w:r>
      <w:proofErr w:type="spellEnd"/>
      <w:r w:rsidR="00715B79">
        <w:t xml:space="preserve"> Instability Index measures </w:t>
      </w:r>
      <w:r w:rsidR="0069192A">
        <w:t xml:space="preserve">ENSO strength by </w:t>
      </w:r>
      <w:r w:rsidR="00DB4995">
        <w:t xml:space="preserve">using an equation that accounts for </w:t>
      </w:r>
      <w:r w:rsidR="00A576BF">
        <w:t>wind speed, temperature</w:t>
      </w:r>
      <w:r w:rsidR="00222327">
        <w:t>, and thermocline depth.</w:t>
      </w:r>
      <w:r w:rsidR="00D749F6">
        <w:t xml:space="preserve"> Finally, </w:t>
      </w:r>
      <w:r w:rsidR="00F257CD">
        <w:t xml:space="preserve">they used a </w:t>
      </w:r>
      <w:r w:rsidR="009C10FF">
        <w:t xml:space="preserve">high-resolution coupled-model simulation </w:t>
      </w:r>
      <w:r w:rsidR="007B31F2">
        <w:t>with the AMO SST pattern as an input, along with a con</w:t>
      </w:r>
      <w:r w:rsidR="00477226">
        <w:t>t</w:t>
      </w:r>
      <w:r w:rsidR="007B31F2">
        <w:t>rol simulation</w:t>
      </w:r>
      <w:r w:rsidR="00477226">
        <w:t>. They observed the development of SST as the model ran.</w:t>
      </w:r>
    </w:p>
    <w:p w14:paraId="543197E3" w14:textId="5ABAD679" w:rsidR="0003725F" w:rsidRDefault="005C5E21" w:rsidP="00125C83">
      <w:pPr>
        <w:spacing w:line="360" w:lineRule="auto"/>
      </w:pPr>
      <w:r>
        <w:t>3.</w:t>
      </w:r>
      <w:r w:rsidR="006512DD">
        <w:t xml:space="preserve"> The tropical pacific annual cycle and ENSO</w:t>
      </w:r>
    </w:p>
    <w:p w14:paraId="3C309A5B" w14:textId="2E479364" w:rsidR="006512DD" w:rsidRDefault="00A51A8E" w:rsidP="00125C83">
      <w:pPr>
        <w:spacing w:line="360" w:lineRule="auto"/>
      </w:pPr>
      <w:r>
        <w:t xml:space="preserve">First, the researchers learned how to use the SPB (Spring Persistence Barrier) strength to measure ENSO strength. They observed a strong correlation between </w:t>
      </w:r>
      <w:r w:rsidR="000C776E">
        <w:t>the value of the SBP and the standard deviation of the Nino 3.4 index (SST in a box in the central Pacific, an accurate metric for ENSO strength)</w:t>
      </w:r>
      <w:r w:rsidR="000C4B2A">
        <w:t xml:space="preserve">, and that weaker SBP </w:t>
      </w:r>
      <w:r w:rsidR="00DB146A">
        <w:t xml:space="preserve">is associated with stronger El Nino. </w:t>
      </w:r>
      <w:r w:rsidR="00F11D53">
        <w:t xml:space="preserve">To study the </w:t>
      </w:r>
      <w:r w:rsidR="005A2DC4">
        <w:t xml:space="preserve">role of the SPB in ENSO multidecadal </w:t>
      </w:r>
      <w:r w:rsidR="005A2DC4">
        <w:lastRenderedPageBreak/>
        <w:t>variability, the researchers used a recharge oscillator, an equation that models ENSO behavior</w:t>
      </w:r>
      <w:r w:rsidR="00C07FD2">
        <w:t>, with an added equation that changes certain parameters to simulate the effect of the AMO.</w:t>
      </w:r>
      <w:r w:rsidR="00DE6E03">
        <w:t xml:space="preserve"> They systematically </w:t>
      </w:r>
      <w:r w:rsidR="00B94FA1">
        <w:t>altered</w:t>
      </w:r>
      <w:r w:rsidR="00DE6E03">
        <w:t xml:space="preserve"> the values of 2 parameters in the equation</w:t>
      </w:r>
      <w:r w:rsidR="00545EB2">
        <w:t>, the annual mean growth rate</w:t>
      </w:r>
      <w:r w:rsidR="004F2313">
        <w:t>,</w:t>
      </w:r>
      <w:r w:rsidR="00731AE0">
        <w:t xml:space="preserve"> and the annual cycle of the growth rate. </w:t>
      </w:r>
      <w:r w:rsidR="004F2313">
        <w:t>They found that these 2 parameters must be inversely related to accurately simulate the</w:t>
      </w:r>
      <w:r w:rsidR="00D06DBF">
        <w:t xml:space="preserve"> observed relationship between ENSO strength and SPB strength. </w:t>
      </w:r>
      <w:r w:rsidR="009E59A2">
        <w:t xml:space="preserve">They found that </w:t>
      </w:r>
      <w:r w:rsidR="00152B40">
        <w:t xml:space="preserve">altering the shape of the AMO variability does not </w:t>
      </w:r>
      <w:r w:rsidR="00954D62">
        <w:t xml:space="preserve">significantly affect the relationship between ENSO strength and SPB strength. </w:t>
      </w:r>
      <w:r w:rsidR="00CD6351">
        <w:t xml:space="preserve">Given this information, there are only 2 possible hypotheses for why ENSO varies </w:t>
      </w:r>
      <w:proofErr w:type="spellStart"/>
      <w:r w:rsidR="00CD6351">
        <w:t>multidecadally</w:t>
      </w:r>
      <w:proofErr w:type="spellEnd"/>
      <w:r w:rsidR="00CD6351">
        <w:t xml:space="preserve">, that </w:t>
      </w:r>
      <w:r w:rsidR="001B61A0">
        <w:t xml:space="preserve">multidecadal </w:t>
      </w:r>
      <w:r w:rsidR="00360E07">
        <w:t xml:space="preserve">variation naturally occurs in </w:t>
      </w:r>
      <w:r w:rsidR="00EB2C98">
        <w:t xml:space="preserve">ENSO, or that factors outside the </w:t>
      </w:r>
      <w:r w:rsidR="00F53755">
        <w:t>Pacific Ocean</w:t>
      </w:r>
      <w:r w:rsidR="00EB2C98">
        <w:t xml:space="preserve"> </w:t>
      </w:r>
      <w:r w:rsidR="00EC3DBC">
        <w:t xml:space="preserve">affect ENSO by changing </w:t>
      </w:r>
      <w:r w:rsidR="0082047A">
        <w:t xml:space="preserve">the value of ENSO amplitude and the SPB strength in opposite ways. </w:t>
      </w:r>
    </w:p>
    <w:p w14:paraId="3AA30B21" w14:textId="07DEE543" w:rsidR="00DF43B3" w:rsidRDefault="00DF43B3" w:rsidP="00125C83">
      <w:pPr>
        <w:spacing w:line="360" w:lineRule="auto"/>
      </w:pPr>
      <w:r>
        <w:t>4. The tropical Atlantic relationship with ENSO</w:t>
      </w:r>
    </w:p>
    <w:p w14:paraId="0D0DE90D" w14:textId="5BCD2922" w:rsidR="00DF43B3" w:rsidRDefault="00544009" w:rsidP="00125C83">
      <w:pPr>
        <w:spacing w:line="360" w:lineRule="auto"/>
      </w:pPr>
      <w:r>
        <w:t xml:space="preserve">Next, the researchers examined the correlation between AMO state and ENSO </w:t>
      </w:r>
      <w:r w:rsidR="004F6401">
        <w:t xml:space="preserve">intensity in </w:t>
      </w:r>
      <w:proofErr w:type="spellStart"/>
      <w:r w:rsidR="004F6401">
        <w:t>precollected</w:t>
      </w:r>
      <w:proofErr w:type="spellEnd"/>
      <w:r w:rsidR="004F6401">
        <w:t xml:space="preserve"> data. Their results indicated that ENSO magnitude is inversely correlated with </w:t>
      </w:r>
      <w:r w:rsidR="003D51F9">
        <w:t xml:space="preserve">AMO magnitude. They checked this observation against </w:t>
      </w:r>
      <w:r w:rsidR="00C8722A">
        <w:t xml:space="preserve">accurate time series data from certain locations, and showed that while the inverse relationship between ENSO and AMO is not significant above 95% confidence, it is still appropriate to run </w:t>
      </w:r>
      <w:r w:rsidR="00B725CD">
        <w:t>coupled model simulations to test their relationship over timespans greater than th</w:t>
      </w:r>
      <w:r w:rsidR="00480DED">
        <w:t xml:space="preserve">at available in the </w:t>
      </w:r>
      <w:proofErr w:type="spellStart"/>
      <w:r w:rsidR="004B0806">
        <w:t>precollected</w:t>
      </w:r>
      <w:proofErr w:type="spellEnd"/>
      <w:r w:rsidR="004B0806">
        <w:t xml:space="preserve"> data.</w:t>
      </w:r>
    </w:p>
    <w:p w14:paraId="2E1D7FCF" w14:textId="0E4CF50A" w:rsidR="00874E0C" w:rsidRDefault="00874E0C" w:rsidP="00125C83">
      <w:pPr>
        <w:spacing w:line="360" w:lineRule="auto"/>
      </w:pPr>
      <w:r>
        <w:t>5. Challenges in the Tropical Pacific Annual Cycle and Their ENSO Impact:</w:t>
      </w:r>
    </w:p>
    <w:p w14:paraId="39612BA4" w14:textId="3FBF662D" w:rsidR="00057699" w:rsidRDefault="00C9096E" w:rsidP="00125C83">
      <w:pPr>
        <w:spacing w:line="360" w:lineRule="auto"/>
      </w:pPr>
      <w:r>
        <w:t xml:space="preserve">They used the </w:t>
      </w:r>
      <w:proofErr w:type="spellStart"/>
      <w:r>
        <w:t>Bjerknes</w:t>
      </w:r>
      <w:proofErr w:type="spellEnd"/>
      <w:r>
        <w:t xml:space="preserve"> Instability Index to </w:t>
      </w:r>
      <w:r w:rsidR="00161E6D">
        <w:t xml:space="preserve">observe the impact that the AMO has on ENSO. </w:t>
      </w:r>
      <w:r w:rsidR="00FF3B00">
        <w:t xml:space="preserve">They </w:t>
      </w:r>
      <w:r w:rsidR="00072D4E">
        <w:t xml:space="preserve">modified the </w:t>
      </w:r>
      <w:r w:rsidR="007A1539">
        <w:t xml:space="preserve">equation for the index to </w:t>
      </w:r>
      <w:r w:rsidR="005B6DEE">
        <w:t xml:space="preserve">accurately account for multidecadal variability. </w:t>
      </w:r>
      <w:r w:rsidR="002E67E9">
        <w:t xml:space="preserve">Their calculations revealed that </w:t>
      </w:r>
      <w:r w:rsidR="00E74C4E">
        <w:t xml:space="preserve">certain aspects of ENSO very greatly over </w:t>
      </w:r>
      <w:r w:rsidR="00D003FD">
        <w:t>t</w:t>
      </w:r>
      <w:r w:rsidR="00E74C4E">
        <w:t xml:space="preserve">he course of the year and have little impact on the </w:t>
      </w:r>
      <w:r w:rsidR="00A70EB6">
        <w:t xml:space="preserve">yearly mean stability, while others </w:t>
      </w:r>
      <w:r w:rsidR="00402666">
        <w:t xml:space="preserve">to not greatly impact seasonality, but </w:t>
      </w:r>
      <w:r w:rsidR="009F30A4">
        <w:t xml:space="preserve">do impact mean stability. </w:t>
      </w:r>
      <w:r w:rsidR="006A2611">
        <w:t xml:space="preserve">They calculated the difference in </w:t>
      </w:r>
      <w:r w:rsidR="00936B04">
        <w:t xml:space="preserve">these 2 measurements of ENSO activity (seasonality and mean stability) </w:t>
      </w:r>
      <w:r w:rsidR="0054745E">
        <w:t xml:space="preserve">over the course of different parts of the AMO cycle. </w:t>
      </w:r>
      <w:r w:rsidR="0038228F">
        <w:t>T</w:t>
      </w:r>
      <w:r w:rsidR="00177364">
        <w:t xml:space="preserve">heir values </w:t>
      </w:r>
      <w:r w:rsidR="00DB26C5">
        <w:t xml:space="preserve">support their conclusions </w:t>
      </w:r>
      <w:r w:rsidR="004A6BF9">
        <w:t>drawn</w:t>
      </w:r>
      <w:r w:rsidR="001171AD">
        <w:t xml:space="preserve"> from the conceptual model experiment</w:t>
      </w:r>
      <w:r w:rsidR="004A6BF9">
        <w:t>s</w:t>
      </w:r>
      <w:r w:rsidR="001171AD">
        <w:t xml:space="preserve">. </w:t>
      </w:r>
      <w:r w:rsidR="00522824">
        <w:t xml:space="preserve">The significance of their values and their agreement with previous experiments </w:t>
      </w:r>
      <w:r w:rsidR="002146CE">
        <w:t xml:space="preserve">supports the hypothesis that the AMO affects the </w:t>
      </w:r>
      <w:r w:rsidR="00730B9A">
        <w:t xml:space="preserve">correlation between ENSO magnitude and </w:t>
      </w:r>
      <w:r w:rsidR="0084375D">
        <w:t>SPB strength</w:t>
      </w:r>
      <w:r w:rsidR="00BA604C">
        <w:t>.</w:t>
      </w:r>
    </w:p>
    <w:p w14:paraId="50687049" w14:textId="3BECF8A5" w:rsidR="005D0108" w:rsidRDefault="005D0108" w:rsidP="00125C83">
      <w:pPr>
        <w:spacing w:line="360" w:lineRule="auto"/>
      </w:pPr>
      <w:r>
        <w:t>6. Pacemaker Experiments</w:t>
      </w:r>
    </w:p>
    <w:p w14:paraId="11DE5F72" w14:textId="3D479219" w:rsidR="005D0108" w:rsidRDefault="008830F1" w:rsidP="00125C83">
      <w:pPr>
        <w:spacing w:line="360" w:lineRule="auto"/>
      </w:pPr>
      <w:r>
        <w:t xml:space="preserve">They additionally supported their hypothesis with </w:t>
      </w:r>
      <w:r w:rsidR="00746EBF">
        <w:t>a coupled model experiment</w:t>
      </w:r>
      <w:r w:rsidR="00290123">
        <w:t>, with the AMO SST pattern as an input</w:t>
      </w:r>
      <w:r w:rsidR="00182885">
        <w:t xml:space="preserve">, and </w:t>
      </w:r>
      <w:r w:rsidR="003469AD">
        <w:t xml:space="preserve">with a control simulation without the AMO forcing. </w:t>
      </w:r>
      <w:r w:rsidR="00F85607">
        <w:t xml:space="preserve">The AMO-forced experiment had </w:t>
      </w:r>
      <w:r w:rsidR="005F617A">
        <w:t xml:space="preserve">a significant </w:t>
      </w:r>
      <w:r w:rsidR="00144177">
        <w:t>increase</w:t>
      </w:r>
      <w:r w:rsidR="0066189C">
        <w:t xml:space="preserve"> in the relationship between ENSO magnitude and SP</w:t>
      </w:r>
      <w:r w:rsidR="00A05DA7">
        <w:t>B</w:t>
      </w:r>
      <w:r w:rsidR="0066189C">
        <w:t xml:space="preserve"> strength</w:t>
      </w:r>
      <w:r w:rsidR="00DE349C">
        <w:t xml:space="preserve"> </w:t>
      </w:r>
      <w:r w:rsidR="00DE349C">
        <w:lastRenderedPageBreak/>
        <w:t>from the control simulation</w:t>
      </w:r>
      <w:r w:rsidR="0066189C">
        <w:t>.</w:t>
      </w:r>
      <w:r w:rsidR="00F120EF">
        <w:t xml:space="preserve"> The </w:t>
      </w:r>
      <w:r w:rsidR="000A0848">
        <w:t xml:space="preserve">results of the model simulation indicated </w:t>
      </w:r>
      <w:r w:rsidR="000A246E">
        <w:t xml:space="preserve">an overly large effect of the thermocline element of the </w:t>
      </w:r>
      <w:proofErr w:type="spellStart"/>
      <w:r w:rsidR="000A246E">
        <w:t>Bjerknes</w:t>
      </w:r>
      <w:proofErr w:type="spellEnd"/>
      <w:r w:rsidR="000A246E">
        <w:t xml:space="preserve"> instability index. This is due to a bias in the coupled model</w:t>
      </w:r>
      <w:r w:rsidR="0018375C">
        <w:t xml:space="preserve">. However, </w:t>
      </w:r>
      <w:r w:rsidR="007404A2">
        <w:t xml:space="preserve">the thermocline feedback varies greatly over the course of the </w:t>
      </w:r>
      <w:r w:rsidR="00EE2094">
        <w:t>year but</w:t>
      </w:r>
      <w:r w:rsidR="007404A2">
        <w:t xml:space="preserve"> </w:t>
      </w:r>
      <w:r w:rsidR="001D3FFB">
        <w:t xml:space="preserve">has a smaller impact on the yearly mean stability. </w:t>
      </w:r>
      <w:r w:rsidR="000A0C97">
        <w:t xml:space="preserve">They conducted further calculations involving the correlation between the AMO </w:t>
      </w:r>
      <w:r w:rsidR="0025154D">
        <w:t xml:space="preserve">index and the </w:t>
      </w:r>
      <w:proofErr w:type="spellStart"/>
      <w:r w:rsidR="0025154D">
        <w:t>Bjerknes</w:t>
      </w:r>
      <w:proofErr w:type="spellEnd"/>
      <w:r w:rsidR="0025154D">
        <w:t xml:space="preserve"> instability index</w:t>
      </w:r>
      <w:r w:rsidR="00E930E6">
        <w:t xml:space="preserve">. </w:t>
      </w:r>
      <w:r w:rsidR="00410BFE">
        <w:t xml:space="preserve">Their research showed that </w:t>
      </w:r>
      <w:r w:rsidR="007E712A">
        <w:t xml:space="preserve">the AMO affects </w:t>
      </w:r>
      <w:r w:rsidR="002678FB">
        <w:t xml:space="preserve">2 </w:t>
      </w:r>
      <w:r w:rsidR="002717AE">
        <w:t>distinct aspects</w:t>
      </w:r>
      <w:r w:rsidR="002678FB">
        <w:t xml:space="preserve"> of ENSO variability, the overall stability and the seasonal stability. </w:t>
      </w:r>
      <w:r w:rsidR="00B3595D">
        <w:t xml:space="preserve">The change in these </w:t>
      </w:r>
      <w:r w:rsidR="002717AE">
        <w:t>variables is responsible for the observed inverse relationship between the SPB strength and ENSO magnitude.</w:t>
      </w:r>
    </w:p>
    <w:p w14:paraId="3C02B416" w14:textId="15D55364" w:rsidR="002B7AB6" w:rsidRDefault="002B7AB6" w:rsidP="00125C83">
      <w:pPr>
        <w:spacing w:line="360" w:lineRule="auto"/>
      </w:pPr>
      <w:r>
        <w:t>7. Conclusions</w:t>
      </w:r>
    </w:p>
    <w:p w14:paraId="33ECEC16" w14:textId="439E0119" w:rsidR="002717AE" w:rsidRDefault="00103A4B" w:rsidP="00125C83">
      <w:pPr>
        <w:spacing w:line="360" w:lineRule="auto"/>
      </w:pPr>
      <w:r>
        <w:t xml:space="preserve">The researchers concluded that the Atlantic Multidecadal Oscillation affects ENSO by causing an inverse relationship between </w:t>
      </w:r>
      <w:r w:rsidR="008E5DF4">
        <w:t xml:space="preserve">ENSO predictability and magnitude. They observed that the Atlantic Multidecadal Oscillation facilitated this change by altering the </w:t>
      </w:r>
      <w:r w:rsidR="00103635">
        <w:t xml:space="preserve">strength of the trade winds, which then affect the </w:t>
      </w:r>
      <w:r w:rsidR="00FD6BB3">
        <w:t xml:space="preserve">seasonal variability </w:t>
      </w:r>
      <w:r w:rsidR="00103635">
        <w:t xml:space="preserve">Pacific cold tongue. </w:t>
      </w:r>
      <w:r w:rsidR="002870DA">
        <w:t>These changes in the</w:t>
      </w:r>
      <w:r w:rsidR="00103635">
        <w:t xml:space="preserve"> </w:t>
      </w:r>
      <w:r w:rsidR="00FD6BB3">
        <w:t>P</w:t>
      </w:r>
      <w:r w:rsidR="00103635">
        <w:t xml:space="preserve">acific cold tongue </w:t>
      </w:r>
      <w:r w:rsidR="002870DA">
        <w:t>variability alter ENSO growth rate differently at different months</w:t>
      </w:r>
      <w:r w:rsidR="00B24407">
        <w:t xml:space="preserve">, giving rise to modulations in the value of the SPB. </w:t>
      </w:r>
    </w:p>
    <w:p w14:paraId="1F9D031C" w14:textId="658D19A5" w:rsidR="00DD2E81" w:rsidRDefault="00DD2E81" w:rsidP="00125C83">
      <w:pPr>
        <w:spacing w:line="360" w:lineRule="auto"/>
      </w:pPr>
    </w:p>
    <w:p w14:paraId="3BD6E7A1" w14:textId="24C37233" w:rsidR="00DD2E81" w:rsidRDefault="009F0A21" w:rsidP="00125C83">
      <w:pPr>
        <w:spacing w:line="360" w:lineRule="auto"/>
      </w:pPr>
      <w:r>
        <w:t>Questions</w:t>
      </w:r>
    </w:p>
    <w:p w14:paraId="7900E391" w14:textId="37189430" w:rsidR="009F0A21" w:rsidRDefault="009F0A21" w:rsidP="00125C83">
      <w:pPr>
        <w:pStyle w:val="ListParagraph"/>
        <w:numPr>
          <w:ilvl w:val="0"/>
          <w:numId w:val="2"/>
        </w:numPr>
        <w:spacing w:line="360" w:lineRule="auto"/>
      </w:pPr>
      <w:r>
        <w:t xml:space="preserve">What are the implications of your results for </w:t>
      </w:r>
      <w:r w:rsidR="008C1986">
        <w:t>ENSO prediction?</w:t>
      </w:r>
    </w:p>
    <w:p w14:paraId="44F9CBE8" w14:textId="2DD0896D" w:rsidR="008C1986" w:rsidRDefault="004925AD" w:rsidP="00125C83">
      <w:pPr>
        <w:pStyle w:val="ListParagraph"/>
        <w:numPr>
          <w:ilvl w:val="0"/>
          <w:numId w:val="2"/>
        </w:numPr>
        <w:spacing w:line="360" w:lineRule="auto"/>
      </w:pPr>
      <w:r>
        <w:t xml:space="preserve">What methods did you use to determine the </w:t>
      </w:r>
      <w:r w:rsidR="003338A8">
        <w:t>functioning of the atmospheric bridge connecting the AMO to ENSO?</w:t>
      </w:r>
    </w:p>
    <w:p w14:paraId="3434F590" w14:textId="571DE492" w:rsidR="003338A8" w:rsidRDefault="00FD5B4C" w:rsidP="00125C83">
      <w:pPr>
        <w:pStyle w:val="ListParagraph"/>
        <w:numPr>
          <w:ilvl w:val="0"/>
          <w:numId w:val="2"/>
        </w:numPr>
        <w:spacing w:line="360" w:lineRule="auto"/>
      </w:pPr>
      <w:r>
        <w:t xml:space="preserve">How do you know that your results are statistically significant enough to rule out other possible explanations for the inverse relationship </w:t>
      </w:r>
      <w:r w:rsidR="008E3E8D">
        <w:t>between the spring persistence barrier and ENSO magnitude?</w:t>
      </w:r>
    </w:p>
    <w:sectPr w:rsidR="0033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5AD"/>
    <w:multiLevelType w:val="hybridMultilevel"/>
    <w:tmpl w:val="0FE626CA"/>
    <w:lvl w:ilvl="0" w:tplc="46AA42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965"/>
    <w:multiLevelType w:val="hybridMultilevel"/>
    <w:tmpl w:val="75E44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93"/>
    <w:rsid w:val="000109A1"/>
    <w:rsid w:val="000253FC"/>
    <w:rsid w:val="0003725F"/>
    <w:rsid w:val="00040F23"/>
    <w:rsid w:val="00042091"/>
    <w:rsid w:val="00043DC9"/>
    <w:rsid w:val="00057699"/>
    <w:rsid w:val="00072D4E"/>
    <w:rsid w:val="00084010"/>
    <w:rsid w:val="000A0848"/>
    <w:rsid w:val="000A0C97"/>
    <w:rsid w:val="000A246E"/>
    <w:rsid w:val="000C13F6"/>
    <w:rsid w:val="000C4B2A"/>
    <w:rsid w:val="000C776E"/>
    <w:rsid w:val="00103635"/>
    <w:rsid w:val="00103A4B"/>
    <w:rsid w:val="001171AD"/>
    <w:rsid w:val="00125C83"/>
    <w:rsid w:val="00144177"/>
    <w:rsid w:val="00152B40"/>
    <w:rsid w:val="00161E6D"/>
    <w:rsid w:val="00177364"/>
    <w:rsid w:val="00177CC5"/>
    <w:rsid w:val="00182885"/>
    <w:rsid w:val="0018310F"/>
    <w:rsid w:val="0018375C"/>
    <w:rsid w:val="001956E3"/>
    <w:rsid w:val="001A446E"/>
    <w:rsid w:val="001B61A0"/>
    <w:rsid w:val="001C74F8"/>
    <w:rsid w:val="001D3FFB"/>
    <w:rsid w:val="001E1271"/>
    <w:rsid w:val="001E164C"/>
    <w:rsid w:val="002146CE"/>
    <w:rsid w:val="00222327"/>
    <w:rsid w:val="0025154D"/>
    <w:rsid w:val="00251CFB"/>
    <w:rsid w:val="002606D4"/>
    <w:rsid w:val="002678FB"/>
    <w:rsid w:val="002717AE"/>
    <w:rsid w:val="002870DA"/>
    <w:rsid w:val="00290123"/>
    <w:rsid w:val="0029188B"/>
    <w:rsid w:val="002B78CF"/>
    <w:rsid w:val="002B7AB6"/>
    <w:rsid w:val="002D4615"/>
    <w:rsid w:val="002D7FD7"/>
    <w:rsid w:val="002E2B61"/>
    <w:rsid w:val="002E67E9"/>
    <w:rsid w:val="002F5D6B"/>
    <w:rsid w:val="00326FCD"/>
    <w:rsid w:val="00327A76"/>
    <w:rsid w:val="003338A8"/>
    <w:rsid w:val="003344F5"/>
    <w:rsid w:val="003469AD"/>
    <w:rsid w:val="00360E07"/>
    <w:rsid w:val="00371F2F"/>
    <w:rsid w:val="0038228F"/>
    <w:rsid w:val="00396968"/>
    <w:rsid w:val="003A3ECE"/>
    <w:rsid w:val="003C1BF4"/>
    <w:rsid w:val="003D51F9"/>
    <w:rsid w:val="003E2D46"/>
    <w:rsid w:val="00400744"/>
    <w:rsid w:val="00402666"/>
    <w:rsid w:val="00402FB7"/>
    <w:rsid w:val="00410BFE"/>
    <w:rsid w:val="00455CBC"/>
    <w:rsid w:val="00477226"/>
    <w:rsid w:val="00480DED"/>
    <w:rsid w:val="004925AD"/>
    <w:rsid w:val="004A0144"/>
    <w:rsid w:val="004A6BF9"/>
    <w:rsid w:val="004B0806"/>
    <w:rsid w:val="004C0DBD"/>
    <w:rsid w:val="004F2313"/>
    <w:rsid w:val="004F6401"/>
    <w:rsid w:val="00521F1A"/>
    <w:rsid w:val="00522824"/>
    <w:rsid w:val="00544009"/>
    <w:rsid w:val="00545EB2"/>
    <w:rsid w:val="0054745E"/>
    <w:rsid w:val="0055064D"/>
    <w:rsid w:val="00572B24"/>
    <w:rsid w:val="00575DBA"/>
    <w:rsid w:val="0059530E"/>
    <w:rsid w:val="005A2DC4"/>
    <w:rsid w:val="005A5D2F"/>
    <w:rsid w:val="005B6DEE"/>
    <w:rsid w:val="005C5E21"/>
    <w:rsid w:val="005D0108"/>
    <w:rsid w:val="005F617A"/>
    <w:rsid w:val="00604167"/>
    <w:rsid w:val="00617693"/>
    <w:rsid w:val="00632BED"/>
    <w:rsid w:val="006334B8"/>
    <w:rsid w:val="00642193"/>
    <w:rsid w:val="00643D64"/>
    <w:rsid w:val="006512DD"/>
    <w:rsid w:val="0066189C"/>
    <w:rsid w:val="00690A09"/>
    <w:rsid w:val="0069192A"/>
    <w:rsid w:val="006961EF"/>
    <w:rsid w:val="006A2611"/>
    <w:rsid w:val="00715B79"/>
    <w:rsid w:val="0072580B"/>
    <w:rsid w:val="00730B9A"/>
    <w:rsid w:val="00731AE0"/>
    <w:rsid w:val="007404A2"/>
    <w:rsid w:val="00746EBF"/>
    <w:rsid w:val="007A1539"/>
    <w:rsid w:val="007B31F2"/>
    <w:rsid w:val="007E712A"/>
    <w:rsid w:val="0082047A"/>
    <w:rsid w:val="0084375D"/>
    <w:rsid w:val="00843F48"/>
    <w:rsid w:val="00874E0C"/>
    <w:rsid w:val="008830F1"/>
    <w:rsid w:val="008A1209"/>
    <w:rsid w:val="008C0080"/>
    <w:rsid w:val="008C1986"/>
    <w:rsid w:val="008C7F3F"/>
    <w:rsid w:val="008D0FE4"/>
    <w:rsid w:val="008E3E8D"/>
    <w:rsid w:val="008E5DF4"/>
    <w:rsid w:val="008E6513"/>
    <w:rsid w:val="00904FDE"/>
    <w:rsid w:val="00917BC8"/>
    <w:rsid w:val="00936B04"/>
    <w:rsid w:val="00944B31"/>
    <w:rsid w:val="00954D62"/>
    <w:rsid w:val="00961410"/>
    <w:rsid w:val="00983CF4"/>
    <w:rsid w:val="009A2564"/>
    <w:rsid w:val="009A7CC1"/>
    <w:rsid w:val="009C10FF"/>
    <w:rsid w:val="009C1C3F"/>
    <w:rsid w:val="009E59A2"/>
    <w:rsid w:val="009F0A21"/>
    <w:rsid w:val="009F1AF4"/>
    <w:rsid w:val="009F30A4"/>
    <w:rsid w:val="00A05DA7"/>
    <w:rsid w:val="00A11375"/>
    <w:rsid w:val="00A1418F"/>
    <w:rsid w:val="00A5134B"/>
    <w:rsid w:val="00A51A8E"/>
    <w:rsid w:val="00A51CC9"/>
    <w:rsid w:val="00A576BF"/>
    <w:rsid w:val="00A70EB6"/>
    <w:rsid w:val="00AB3E0F"/>
    <w:rsid w:val="00AE4275"/>
    <w:rsid w:val="00B15621"/>
    <w:rsid w:val="00B22451"/>
    <w:rsid w:val="00B24407"/>
    <w:rsid w:val="00B3595D"/>
    <w:rsid w:val="00B46B43"/>
    <w:rsid w:val="00B720C8"/>
    <w:rsid w:val="00B725CD"/>
    <w:rsid w:val="00B72698"/>
    <w:rsid w:val="00B94FA1"/>
    <w:rsid w:val="00BA604C"/>
    <w:rsid w:val="00BC3AF6"/>
    <w:rsid w:val="00C04149"/>
    <w:rsid w:val="00C07FD2"/>
    <w:rsid w:val="00C152BE"/>
    <w:rsid w:val="00C6766E"/>
    <w:rsid w:val="00C70187"/>
    <w:rsid w:val="00C85F70"/>
    <w:rsid w:val="00C8722A"/>
    <w:rsid w:val="00C9096E"/>
    <w:rsid w:val="00CD6351"/>
    <w:rsid w:val="00CF73F2"/>
    <w:rsid w:val="00CF7A9B"/>
    <w:rsid w:val="00D003FD"/>
    <w:rsid w:val="00D06DBF"/>
    <w:rsid w:val="00D10913"/>
    <w:rsid w:val="00D21E31"/>
    <w:rsid w:val="00D61DB8"/>
    <w:rsid w:val="00D749F6"/>
    <w:rsid w:val="00DB146A"/>
    <w:rsid w:val="00DB26C5"/>
    <w:rsid w:val="00DB4995"/>
    <w:rsid w:val="00DD2E81"/>
    <w:rsid w:val="00DE349C"/>
    <w:rsid w:val="00DE56D4"/>
    <w:rsid w:val="00DE6E03"/>
    <w:rsid w:val="00DF43B3"/>
    <w:rsid w:val="00DF6487"/>
    <w:rsid w:val="00E5080F"/>
    <w:rsid w:val="00E5212A"/>
    <w:rsid w:val="00E74C4E"/>
    <w:rsid w:val="00E930E6"/>
    <w:rsid w:val="00EB2C98"/>
    <w:rsid w:val="00EB5798"/>
    <w:rsid w:val="00EC3DBC"/>
    <w:rsid w:val="00EE2094"/>
    <w:rsid w:val="00F10D9E"/>
    <w:rsid w:val="00F11D53"/>
    <w:rsid w:val="00F120EF"/>
    <w:rsid w:val="00F17068"/>
    <w:rsid w:val="00F2105D"/>
    <w:rsid w:val="00F257CD"/>
    <w:rsid w:val="00F3072F"/>
    <w:rsid w:val="00F527A6"/>
    <w:rsid w:val="00F53755"/>
    <w:rsid w:val="00F5376F"/>
    <w:rsid w:val="00F85607"/>
    <w:rsid w:val="00FD1C29"/>
    <w:rsid w:val="00FD5B4C"/>
    <w:rsid w:val="00FD6BB3"/>
    <w:rsid w:val="00FF22A9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457B"/>
  <w15:chartTrackingRefBased/>
  <w15:docId w15:val="{FFD7A7F8-208F-4CF9-A058-9967ADFC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">
    <w:name w:val="author"/>
    <w:basedOn w:val="DefaultParagraphFont"/>
    <w:rsid w:val="0029188B"/>
  </w:style>
  <w:style w:type="character" w:customStyle="1" w:styleId="pubyear">
    <w:name w:val="pubyear"/>
    <w:basedOn w:val="DefaultParagraphFont"/>
    <w:rsid w:val="0029188B"/>
  </w:style>
  <w:style w:type="character" w:customStyle="1" w:styleId="articletitle">
    <w:name w:val="articletitle"/>
    <w:basedOn w:val="DefaultParagraphFont"/>
    <w:rsid w:val="0029188B"/>
  </w:style>
  <w:style w:type="character" w:customStyle="1" w:styleId="vol">
    <w:name w:val="vol"/>
    <w:basedOn w:val="DefaultParagraphFont"/>
    <w:rsid w:val="0029188B"/>
  </w:style>
  <w:style w:type="character" w:styleId="Hyperlink">
    <w:name w:val="Hyperlink"/>
    <w:basedOn w:val="DefaultParagraphFont"/>
    <w:uiPriority w:val="99"/>
    <w:semiHidden/>
    <w:unhideWhenUsed/>
    <w:rsid w:val="002918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05GL02295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49CEE-F60D-4493-9891-6CC241FAE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FB600E-2544-4B43-99E3-DD412DDAA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6C204-DCAF-4909-AD51-BA9BFA24B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Links>
    <vt:vector size="6" baseType="variant">
      <vt:variant>
        <vt:i4>4325377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https://doi.org/10.1029/2005GL022951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210</cp:revision>
  <cp:lastPrinted>2020-01-14T23:56:00Z</cp:lastPrinted>
  <dcterms:created xsi:type="dcterms:W3CDTF">2019-12-09T13:42:00Z</dcterms:created>
  <dcterms:modified xsi:type="dcterms:W3CDTF">2020-01-14T23:59:00Z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