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F56D" w14:textId="6B67FA30" w:rsidR="00AC5D10" w:rsidRPr="008407F9" w:rsidRDefault="00350E16" w:rsidP="0066121C">
      <w:pPr>
        <w:spacing w:after="0" w:line="360" w:lineRule="auto"/>
        <w:jc w:val="center"/>
        <w:textAlignment w:val="baseline"/>
        <w:rPr>
          <w:rFonts w:ascii="Times New Roman" w:eastAsia="Times New Roman" w:hAnsi="Times New Roman" w:cs="Times New Roman"/>
          <w:b/>
          <w:bCs/>
        </w:rPr>
      </w:pPr>
      <w:r w:rsidRPr="008407F9">
        <w:rPr>
          <w:rFonts w:ascii="Times New Roman" w:eastAsia="Times New Roman" w:hAnsi="Times New Roman" w:cs="Times New Roman"/>
          <w:b/>
          <w:bCs/>
          <w:color w:val="000000"/>
          <w:sz w:val="40"/>
          <w:szCs w:val="40"/>
        </w:rPr>
        <w:t>Touch sensitivity during the first year of life in human infants: effects of sex, sleep state, and NICU experience</w:t>
      </w:r>
      <w:r w:rsidRPr="008407F9">
        <w:rPr>
          <w:rFonts w:ascii="Times New Roman" w:eastAsia="Times New Roman" w:hAnsi="Times New Roman" w:cs="Times New Roman"/>
          <w:b/>
          <w:bCs/>
          <w:color w:val="000000"/>
        </w:rPr>
        <w:t> </w:t>
      </w:r>
    </w:p>
    <w:p w14:paraId="425423AD" w14:textId="66937C64" w:rsidR="00350E16" w:rsidRPr="00E36758" w:rsidRDefault="00350E16" w:rsidP="002E429A">
      <w:pPr>
        <w:spacing w:after="0" w:line="360" w:lineRule="auto"/>
        <w:jc w:val="center"/>
        <w:textAlignment w:val="baseline"/>
        <w:rPr>
          <w:rFonts w:ascii="Times New Roman" w:eastAsia="Times New Roman" w:hAnsi="Times New Roman" w:cs="Times New Roman"/>
          <w:color w:val="000000"/>
          <w:sz w:val="36"/>
          <w:szCs w:val="36"/>
        </w:rPr>
      </w:pPr>
      <w:r w:rsidRPr="00E36758">
        <w:rPr>
          <w:rFonts w:ascii="Times New Roman" w:eastAsia="Times New Roman" w:hAnsi="Times New Roman" w:cs="Times New Roman"/>
          <w:color w:val="000000"/>
          <w:sz w:val="36"/>
          <w:szCs w:val="36"/>
        </w:rPr>
        <w:t>Melissa Soto </w:t>
      </w:r>
    </w:p>
    <w:p w14:paraId="1D3B37CA" w14:textId="7D1086D3" w:rsidR="00AC5D10" w:rsidRPr="00E36758" w:rsidRDefault="00AC5D10" w:rsidP="002E429A">
      <w:pPr>
        <w:spacing w:after="0" w:line="360" w:lineRule="auto"/>
        <w:textAlignment w:val="baseline"/>
        <w:rPr>
          <w:rFonts w:ascii="Times New Roman" w:eastAsia="Times New Roman" w:hAnsi="Times New Roman" w:cs="Times New Roman"/>
          <w:b/>
          <w:bCs/>
          <w:color w:val="000000"/>
          <w:sz w:val="32"/>
          <w:szCs w:val="32"/>
        </w:rPr>
      </w:pPr>
      <w:r w:rsidRPr="00E36758">
        <w:rPr>
          <w:rFonts w:ascii="Times New Roman" w:eastAsia="Times New Roman" w:hAnsi="Times New Roman" w:cs="Times New Roman"/>
          <w:b/>
          <w:bCs/>
          <w:color w:val="000000"/>
          <w:sz w:val="32"/>
          <w:szCs w:val="32"/>
        </w:rPr>
        <w:t>Abstract</w:t>
      </w:r>
    </w:p>
    <w:p w14:paraId="108FF090" w14:textId="79D617A6" w:rsidR="00C203FA" w:rsidRDefault="00350E16" w:rsidP="00351EC6">
      <w:pPr>
        <w:spacing w:after="0" w:line="240" w:lineRule="auto"/>
        <w:ind w:firstLine="720"/>
        <w:textAlignment w:val="baseline"/>
        <w:rPr>
          <w:rFonts w:ascii="Times New Roman" w:eastAsia="Times New Roman" w:hAnsi="Times New Roman" w:cs="Times New Roman"/>
          <w:sz w:val="24"/>
          <w:szCs w:val="24"/>
        </w:rPr>
      </w:pPr>
      <w:r w:rsidRPr="003B3498">
        <w:rPr>
          <w:rFonts w:ascii="Times New Roman" w:eastAsia="Times New Roman" w:hAnsi="Times New Roman" w:cs="Times New Roman"/>
          <w:color w:val="000000"/>
          <w:sz w:val="24"/>
          <w:szCs w:val="24"/>
        </w:rPr>
        <w:t>Sensory processing in infants can be tested through the flexion reflex to examine spinal cord processes. Sensory thresholds increase with age, however, sex, sleep state, hospitalization, and ICU stay have been shown to affect sensory thresholds in adults. We aim</w:t>
      </w:r>
      <w:r w:rsidR="00E332C9" w:rsidRPr="003B3498">
        <w:rPr>
          <w:rFonts w:ascii="Times New Roman" w:eastAsia="Times New Roman" w:hAnsi="Times New Roman" w:cs="Times New Roman"/>
          <w:color w:val="000000"/>
          <w:sz w:val="24"/>
          <w:szCs w:val="24"/>
        </w:rPr>
        <w:t>ed</w:t>
      </w:r>
      <w:r w:rsidRPr="003B3498">
        <w:rPr>
          <w:rFonts w:ascii="Times New Roman" w:eastAsia="Times New Roman" w:hAnsi="Times New Roman" w:cs="Times New Roman"/>
          <w:color w:val="000000"/>
          <w:sz w:val="24"/>
          <w:szCs w:val="24"/>
        </w:rPr>
        <w:t xml:space="preserve"> to examine sensory thresholds in the first year of life and how the factors of sex, sleep state, hospitalization, and NICU stay affect development of sensory processes. This study was conducted with</w:t>
      </w:r>
      <w:r w:rsidR="00EF5489" w:rsidRPr="003B3498">
        <w:rPr>
          <w:rFonts w:ascii="Times New Roman" w:eastAsia="Times New Roman" w:hAnsi="Times New Roman" w:cs="Times New Roman"/>
          <w:color w:val="000000"/>
          <w:sz w:val="24"/>
          <w:szCs w:val="24"/>
        </w:rPr>
        <w:t xml:space="preserve"> </w:t>
      </w:r>
      <w:r w:rsidRPr="003B3498">
        <w:rPr>
          <w:rFonts w:ascii="Times New Roman" w:eastAsia="Times New Roman" w:hAnsi="Times New Roman" w:cs="Times New Roman"/>
          <w:color w:val="000000"/>
          <w:sz w:val="24"/>
          <w:szCs w:val="24"/>
        </w:rPr>
        <w:t xml:space="preserve">children </w:t>
      </w:r>
      <w:r w:rsidR="00C61F04" w:rsidRPr="003B3498">
        <w:rPr>
          <w:rFonts w:ascii="Times New Roman" w:eastAsia="Times New Roman" w:hAnsi="Times New Roman" w:cs="Times New Roman"/>
          <w:color w:val="000000"/>
          <w:sz w:val="24"/>
          <w:szCs w:val="24"/>
        </w:rPr>
        <w:t>at 2</w:t>
      </w:r>
      <w:r w:rsidRPr="003B3498">
        <w:rPr>
          <w:rFonts w:ascii="Times New Roman" w:eastAsia="Times New Roman" w:hAnsi="Times New Roman" w:cs="Times New Roman"/>
          <w:color w:val="000000"/>
          <w:sz w:val="24"/>
          <w:szCs w:val="24"/>
        </w:rPr>
        <w:t>-, 4-, and 10-month visits. At each visit, stimuli were applied at building intensities to measure sensory thresholds. Reflexes were viewed as hip, knee, ankle, or no responses. Responses were recorded and viewed to</w:t>
      </w:r>
      <w:r w:rsidR="00C203FA" w:rsidRPr="003B3498">
        <w:rPr>
          <w:rFonts w:ascii="Times New Roman" w:eastAsia="Times New Roman" w:hAnsi="Times New Roman" w:cs="Times New Roman"/>
          <w:color w:val="000000"/>
          <w:sz w:val="24"/>
          <w:szCs w:val="24"/>
        </w:rPr>
        <w:t xml:space="preserve"> see the development of sensory thresholds over the first year of life. </w:t>
      </w:r>
      <w:r w:rsidR="00534C3C" w:rsidRPr="003B3498">
        <w:rPr>
          <w:rFonts w:ascii="Times New Roman" w:eastAsia="Times New Roman" w:hAnsi="Times New Roman" w:cs="Times New Roman"/>
          <w:color w:val="000000"/>
          <w:sz w:val="24"/>
          <w:szCs w:val="24"/>
        </w:rPr>
        <w:t xml:space="preserve">Responses showed no variability from normal developmental trends presented in children not exposed to painful procedures </w:t>
      </w:r>
      <w:r w:rsidR="00C203FA" w:rsidRPr="003B3498">
        <w:rPr>
          <w:rFonts w:ascii="Times New Roman" w:eastAsia="Times New Roman" w:hAnsi="Times New Roman" w:cs="Times New Roman"/>
          <w:color w:val="000000"/>
          <w:sz w:val="24"/>
          <w:szCs w:val="24"/>
        </w:rPr>
        <w:t>in the stimulation.</w:t>
      </w:r>
      <w:r w:rsidR="00534C3C" w:rsidRPr="003B3498">
        <w:rPr>
          <w:rFonts w:ascii="Times New Roman" w:eastAsia="Times New Roman" w:hAnsi="Times New Roman" w:cs="Times New Roman"/>
          <w:color w:val="000000"/>
          <w:sz w:val="24"/>
          <w:szCs w:val="24"/>
        </w:rPr>
        <w:t xml:space="preserve"> </w:t>
      </w:r>
      <w:r w:rsidRPr="003B3498">
        <w:rPr>
          <w:rFonts w:ascii="Times New Roman" w:eastAsia="Times New Roman" w:hAnsi="Times New Roman" w:cs="Times New Roman"/>
          <w:color w:val="000000"/>
          <w:sz w:val="24"/>
          <w:szCs w:val="24"/>
        </w:rPr>
        <w:t xml:space="preserve">These results </w:t>
      </w:r>
      <w:r w:rsidR="00E332C9" w:rsidRPr="003B3498">
        <w:rPr>
          <w:rFonts w:ascii="Times New Roman" w:eastAsia="Times New Roman" w:hAnsi="Times New Roman" w:cs="Times New Roman"/>
          <w:color w:val="000000"/>
          <w:sz w:val="24"/>
          <w:szCs w:val="24"/>
        </w:rPr>
        <w:t xml:space="preserve">were </w:t>
      </w:r>
      <w:r w:rsidRPr="003B3498">
        <w:rPr>
          <w:rFonts w:ascii="Times New Roman" w:eastAsia="Times New Roman" w:hAnsi="Times New Roman" w:cs="Times New Roman"/>
          <w:color w:val="000000"/>
          <w:sz w:val="24"/>
          <w:szCs w:val="24"/>
        </w:rPr>
        <w:t>able to assess the abilities of the spinal cord in accordance with sensory processing after painful procedures. </w:t>
      </w:r>
    </w:p>
    <w:p w14:paraId="788BF817" w14:textId="77777777" w:rsidR="00351EC6" w:rsidRPr="00351EC6" w:rsidRDefault="00351EC6" w:rsidP="00351EC6">
      <w:pPr>
        <w:spacing w:after="0" w:line="240" w:lineRule="auto"/>
        <w:ind w:firstLine="720"/>
        <w:textAlignment w:val="baseline"/>
        <w:rPr>
          <w:rFonts w:ascii="Times New Roman" w:eastAsia="Times New Roman" w:hAnsi="Times New Roman" w:cs="Times New Roman"/>
          <w:sz w:val="24"/>
          <w:szCs w:val="24"/>
        </w:rPr>
      </w:pPr>
    </w:p>
    <w:p w14:paraId="29CB18C6" w14:textId="2704890E" w:rsidR="00981811" w:rsidRPr="00E36758" w:rsidRDefault="5F2D0C04" w:rsidP="002E429A">
      <w:pPr>
        <w:spacing w:line="360" w:lineRule="auto"/>
        <w:rPr>
          <w:rFonts w:ascii="Times New Roman" w:hAnsi="Times New Roman" w:cs="Times New Roman"/>
          <w:b/>
          <w:bCs/>
          <w:sz w:val="32"/>
          <w:szCs w:val="32"/>
        </w:rPr>
      </w:pPr>
      <w:r w:rsidRPr="00E36758">
        <w:rPr>
          <w:rFonts w:ascii="Times New Roman" w:hAnsi="Times New Roman" w:cs="Times New Roman"/>
          <w:b/>
          <w:bCs/>
          <w:sz w:val="32"/>
          <w:szCs w:val="32"/>
        </w:rPr>
        <w:t xml:space="preserve">Introduction </w:t>
      </w:r>
    </w:p>
    <w:p w14:paraId="4FA6A46D" w14:textId="4AB7B31C" w:rsidR="00273A18" w:rsidRPr="003B3498" w:rsidRDefault="74546C9B" w:rsidP="00552A3E">
      <w:pPr>
        <w:spacing w:line="240" w:lineRule="auto"/>
        <w:ind w:firstLine="720"/>
        <w:rPr>
          <w:rFonts w:ascii="Times New Roman" w:hAnsi="Times New Roman" w:cs="Times New Roman"/>
          <w:b/>
          <w:bCs/>
          <w:sz w:val="24"/>
          <w:szCs w:val="24"/>
        </w:rPr>
      </w:pPr>
      <w:r w:rsidRPr="003B3498">
        <w:rPr>
          <w:rFonts w:ascii="Times New Roman" w:eastAsia="Georgia" w:hAnsi="Times New Roman" w:cs="Times New Roman"/>
          <w:sz w:val="24"/>
          <w:szCs w:val="24"/>
        </w:rPr>
        <w:t xml:space="preserve">Children </w:t>
      </w:r>
      <w:r w:rsidR="182E28A8" w:rsidRPr="003B3498">
        <w:rPr>
          <w:rFonts w:ascii="Times New Roman" w:eastAsia="Georgia" w:hAnsi="Times New Roman" w:cs="Times New Roman"/>
          <w:sz w:val="24"/>
          <w:szCs w:val="24"/>
        </w:rPr>
        <w:t>may</w:t>
      </w:r>
      <w:r w:rsidRPr="003B3498">
        <w:rPr>
          <w:rFonts w:ascii="Times New Roman" w:eastAsia="Georgia" w:hAnsi="Times New Roman" w:cs="Times New Roman"/>
          <w:sz w:val="24"/>
          <w:szCs w:val="24"/>
        </w:rPr>
        <w:t xml:space="preserve"> have involuntary exposure to pain at a very young age as part of necessary </w:t>
      </w:r>
      <w:r w:rsidR="7ABB02FF" w:rsidRPr="003B3498">
        <w:rPr>
          <w:rFonts w:ascii="Times New Roman" w:eastAsia="Georgia" w:hAnsi="Times New Roman" w:cs="Times New Roman"/>
          <w:sz w:val="24"/>
          <w:szCs w:val="24"/>
        </w:rPr>
        <w:t>medical procedures. It is o</w:t>
      </w:r>
      <w:r w:rsidR="3FE0753D" w:rsidRPr="003B3498">
        <w:rPr>
          <w:rFonts w:ascii="Times New Roman" w:eastAsia="Georgia" w:hAnsi="Times New Roman" w:cs="Times New Roman"/>
          <w:sz w:val="24"/>
          <w:szCs w:val="24"/>
        </w:rPr>
        <w:t xml:space="preserve">ften difficult for medical professionals to view the </w:t>
      </w:r>
      <w:r w:rsidR="124BC466" w:rsidRPr="003B3498">
        <w:rPr>
          <w:rFonts w:ascii="Times New Roman" w:eastAsia="Georgia" w:hAnsi="Times New Roman" w:cs="Times New Roman"/>
          <w:sz w:val="24"/>
          <w:szCs w:val="24"/>
        </w:rPr>
        <w:t>amount of pain the child is being exposed to and how the management of that pain should be administered</w:t>
      </w:r>
      <w:r w:rsidR="005E6875" w:rsidRPr="003B3498">
        <w:rPr>
          <w:rFonts w:ascii="Times New Roman" w:eastAsia="Georgia" w:hAnsi="Times New Roman" w:cs="Times New Roman"/>
          <w:sz w:val="24"/>
          <w:szCs w:val="24"/>
        </w:rPr>
        <w:t xml:space="preserve"> (</w:t>
      </w:r>
      <w:r w:rsidR="005E6875" w:rsidRPr="003B3498">
        <w:rPr>
          <w:rStyle w:val="normaltextrun"/>
          <w:rFonts w:ascii="Times New Roman" w:hAnsi="Times New Roman" w:cs="Times New Roman"/>
          <w:sz w:val="24"/>
          <w:szCs w:val="24"/>
        </w:rPr>
        <w:t>Fitzgerald</w:t>
      </w:r>
      <w:r w:rsidR="00A742AF" w:rsidRPr="003B3498">
        <w:rPr>
          <w:rStyle w:val="normaltextrun"/>
          <w:rFonts w:ascii="Times New Roman" w:hAnsi="Times New Roman" w:cs="Times New Roman"/>
          <w:sz w:val="24"/>
          <w:szCs w:val="24"/>
        </w:rPr>
        <w:t xml:space="preserve"> </w:t>
      </w:r>
      <w:r w:rsidR="00B4338F" w:rsidRPr="003B3498">
        <w:rPr>
          <w:rStyle w:val="normaltextrun"/>
          <w:rFonts w:ascii="Times New Roman" w:hAnsi="Times New Roman" w:cs="Times New Roman"/>
          <w:sz w:val="24"/>
          <w:szCs w:val="24"/>
        </w:rPr>
        <w:t>2009</w:t>
      </w:r>
      <w:r w:rsidR="005E6875" w:rsidRPr="003B3498">
        <w:rPr>
          <w:rStyle w:val="normaltextrun"/>
          <w:rFonts w:ascii="Times New Roman" w:hAnsi="Times New Roman" w:cs="Times New Roman"/>
          <w:sz w:val="24"/>
          <w:szCs w:val="24"/>
        </w:rPr>
        <w:t>)</w:t>
      </w:r>
      <w:r w:rsidR="124BC466" w:rsidRPr="003B3498">
        <w:rPr>
          <w:rFonts w:ascii="Times New Roman" w:eastAsia="Georgia" w:hAnsi="Times New Roman" w:cs="Times New Roman"/>
          <w:sz w:val="24"/>
          <w:szCs w:val="24"/>
        </w:rPr>
        <w:t xml:space="preserve">. This </w:t>
      </w:r>
      <w:r w:rsidR="79F579D0" w:rsidRPr="003B3498">
        <w:rPr>
          <w:rFonts w:ascii="Times New Roman" w:eastAsia="Georgia" w:hAnsi="Times New Roman" w:cs="Times New Roman"/>
          <w:sz w:val="24"/>
          <w:szCs w:val="24"/>
        </w:rPr>
        <w:t xml:space="preserve">is due to children not </w:t>
      </w:r>
      <w:r w:rsidR="7F351966" w:rsidRPr="003B3498">
        <w:rPr>
          <w:rFonts w:ascii="Times New Roman" w:eastAsia="Georgia" w:hAnsi="Times New Roman" w:cs="Times New Roman"/>
          <w:sz w:val="24"/>
          <w:szCs w:val="24"/>
        </w:rPr>
        <w:t>being able</w:t>
      </w:r>
      <w:r w:rsidR="79F579D0" w:rsidRPr="003B3498">
        <w:rPr>
          <w:rFonts w:ascii="Times New Roman" w:eastAsia="Georgia" w:hAnsi="Times New Roman" w:cs="Times New Roman"/>
          <w:sz w:val="24"/>
          <w:szCs w:val="24"/>
        </w:rPr>
        <w:t xml:space="preserve"> to report on the pain due to inability to talk</w:t>
      </w:r>
      <w:r w:rsidR="12EC02ED" w:rsidRPr="003B3498">
        <w:rPr>
          <w:rFonts w:ascii="Times New Roman" w:eastAsia="Georgia" w:hAnsi="Times New Roman" w:cs="Times New Roman"/>
          <w:sz w:val="24"/>
          <w:szCs w:val="24"/>
        </w:rPr>
        <w:t xml:space="preserve"> and impairments to cognitive activity. The development of sensory processing of pain in adults and older children</w:t>
      </w:r>
      <w:r w:rsidR="43139F3E" w:rsidRPr="003B3498">
        <w:rPr>
          <w:rFonts w:ascii="Times New Roman" w:eastAsia="Georgia" w:hAnsi="Times New Roman" w:cs="Times New Roman"/>
          <w:sz w:val="24"/>
          <w:szCs w:val="24"/>
        </w:rPr>
        <w:t xml:space="preserve"> </w:t>
      </w:r>
      <w:r w:rsidR="6086C4E6" w:rsidRPr="003B3498">
        <w:rPr>
          <w:rFonts w:ascii="Times New Roman" w:eastAsia="Georgia" w:hAnsi="Times New Roman" w:cs="Times New Roman"/>
          <w:sz w:val="24"/>
          <w:szCs w:val="24"/>
        </w:rPr>
        <w:t>has</w:t>
      </w:r>
      <w:r w:rsidR="43139F3E" w:rsidRPr="003B3498">
        <w:rPr>
          <w:rFonts w:ascii="Times New Roman" w:eastAsia="Georgia" w:hAnsi="Times New Roman" w:cs="Times New Roman"/>
          <w:sz w:val="24"/>
          <w:szCs w:val="24"/>
        </w:rPr>
        <w:t xml:space="preserve"> been examined, however little has been examined regarding infants and their development in nervous system pathways</w:t>
      </w:r>
      <w:r w:rsidR="788E2736" w:rsidRPr="003B3498">
        <w:rPr>
          <w:rFonts w:ascii="Times New Roman" w:eastAsia="Georgia" w:hAnsi="Times New Roman" w:cs="Times New Roman"/>
          <w:sz w:val="24"/>
          <w:szCs w:val="24"/>
        </w:rPr>
        <w:t xml:space="preserve"> that process pain.</w:t>
      </w:r>
      <w:r w:rsidR="66ED5B4A" w:rsidRPr="003B3498">
        <w:rPr>
          <w:rFonts w:ascii="Times New Roman" w:eastAsia="Georgia" w:hAnsi="Times New Roman" w:cs="Times New Roman"/>
          <w:sz w:val="24"/>
          <w:szCs w:val="24"/>
        </w:rPr>
        <w:t xml:space="preserve"> Concerns have emerged </w:t>
      </w:r>
      <w:r w:rsidR="48FD33DE" w:rsidRPr="003B3498">
        <w:rPr>
          <w:rFonts w:ascii="Times New Roman" w:eastAsia="Georgia" w:hAnsi="Times New Roman" w:cs="Times New Roman"/>
          <w:sz w:val="24"/>
          <w:szCs w:val="24"/>
        </w:rPr>
        <w:t>about</w:t>
      </w:r>
      <w:r w:rsidR="66ED5B4A" w:rsidRPr="003B3498">
        <w:rPr>
          <w:rFonts w:ascii="Times New Roman" w:eastAsia="Georgia" w:hAnsi="Times New Roman" w:cs="Times New Roman"/>
          <w:sz w:val="24"/>
          <w:szCs w:val="24"/>
        </w:rPr>
        <w:t xml:space="preserve"> pain responses </w:t>
      </w:r>
      <w:r w:rsidR="171011FD" w:rsidRPr="003B3498">
        <w:rPr>
          <w:rFonts w:ascii="Times New Roman" w:eastAsia="Georgia" w:hAnsi="Times New Roman" w:cs="Times New Roman"/>
          <w:sz w:val="24"/>
          <w:szCs w:val="24"/>
        </w:rPr>
        <w:t xml:space="preserve">when newborns were exposed at a </w:t>
      </w:r>
      <w:r w:rsidR="4E273C53" w:rsidRPr="003B3498">
        <w:rPr>
          <w:rFonts w:ascii="Times New Roman" w:eastAsia="Georgia" w:hAnsi="Times New Roman" w:cs="Times New Roman"/>
          <w:sz w:val="24"/>
          <w:szCs w:val="24"/>
        </w:rPr>
        <w:t>sensitive developmental period.</w:t>
      </w:r>
    </w:p>
    <w:p w14:paraId="01E419F5" w14:textId="5605DC8E" w:rsidR="00C16AC1" w:rsidRPr="003B3498" w:rsidRDefault="795293B7" w:rsidP="00552A3E">
      <w:pPr>
        <w:spacing w:line="240" w:lineRule="auto"/>
        <w:ind w:firstLine="720"/>
        <w:rPr>
          <w:rFonts w:ascii="Times New Roman" w:eastAsia="Georgia" w:hAnsi="Times New Roman" w:cs="Times New Roman"/>
          <w:noProof/>
          <w:sz w:val="24"/>
          <w:szCs w:val="24"/>
        </w:rPr>
      </w:pPr>
      <w:r w:rsidRPr="003B3498">
        <w:rPr>
          <w:rFonts w:ascii="Times New Roman" w:eastAsia="Georgia" w:hAnsi="Times New Roman" w:cs="Times New Roman"/>
          <w:sz w:val="24"/>
          <w:szCs w:val="24"/>
        </w:rPr>
        <w:t>Sensory processing of the spinal cord has been measured through flexion withdrawal reflexes evoked by touch</w:t>
      </w:r>
      <w:r w:rsidR="004C04AC" w:rsidRPr="003B3498">
        <w:rPr>
          <w:rFonts w:ascii="Times New Roman" w:eastAsia="Georgia" w:hAnsi="Times New Roman" w:cs="Times New Roman"/>
          <w:sz w:val="24"/>
          <w:szCs w:val="24"/>
        </w:rPr>
        <w:t xml:space="preserve"> (</w:t>
      </w:r>
      <w:r w:rsidR="004C04AC" w:rsidRPr="003B3498">
        <w:rPr>
          <w:rStyle w:val="normaltextrun"/>
          <w:rFonts w:ascii="Times New Roman" w:hAnsi="Times New Roman" w:cs="Times New Roman"/>
          <w:sz w:val="24"/>
          <w:szCs w:val="24"/>
        </w:rPr>
        <w:t>Cornelissen</w:t>
      </w:r>
      <w:r w:rsidR="00B4338F" w:rsidRPr="003B3498">
        <w:rPr>
          <w:rStyle w:val="normaltextrun"/>
          <w:rFonts w:ascii="Times New Roman" w:hAnsi="Times New Roman" w:cs="Times New Roman"/>
          <w:sz w:val="24"/>
          <w:szCs w:val="24"/>
        </w:rPr>
        <w:t xml:space="preserve"> 2013</w:t>
      </w:r>
      <w:r w:rsidR="004C04AC" w:rsidRPr="003B3498">
        <w:rPr>
          <w:rStyle w:val="normaltextrun"/>
          <w:rFonts w:ascii="Times New Roman" w:hAnsi="Times New Roman" w:cs="Times New Roman"/>
          <w:color w:val="202F66"/>
          <w:sz w:val="24"/>
          <w:szCs w:val="24"/>
        </w:rPr>
        <w:t>)</w:t>
      </w:r>
      <w:r w:rsidRPr="003B3498">
        <w:rPr>
          <w:rFonts w:ascii="Times New Roman" w:eastAsia="Georgia" w:hAnsi="Times New Roman" w:cs="Times New Roman"/>
          <w:sz w:val="24"/>
          <w:szCs w:val="24"/>
        </w:rPr>
        <w:t>.</w:t>
      </w:r>
      <w:r w:rsidR="00ED5356" w:rsidRPr="003B3498">
        <w:rPr>
          <w:rFonts w:ascii="Times New Roman" w:eastAsia="Georgia" w:hAnsi="Times New Roman" w:cs="Times New Roman"/>
          <w:sz w:val="24"/>
          <w:szCs w:val="24"/>
        </w:rPr>
        <w:t xml:space="preserve"> </w:t>
      </w:r>
      <w:r w:rsidR="00443CD3" w:rsidRPr="003B3498">
        <w:rPr>
          <w:rFonts w:ascii="Times New Roman" w:eastAsia="Georgia" w:hAnsi="Times New Roman" w:cs="Times New Roman"/>
          <w:sz w:val="24"/>
          <w:szCs w:val="24"/>
        </w:rPr>
        <w:t>Singular stimulation has been used to find sensory thresholds that could view development through time (Andrews 2007).</w:t>
      </w:r>
      <w:r w:rsidRPr="003B3498">
        <w:rPr>
          <w:rFonts w:ascii="Times New Roman" w:eastAsia="Georgia" w:hAnsi="Times New Roman" w:cs="Times New Roman"/>
          <w:sz w:val="24"/>
          <w:szCs w:val="24"/>
        </w:rPr>
        <w:t xml:space="preserve"> </w:t>
      </w:r>
      <w:r w:rsidR="006841CC" w:rsidRPr="003B3498">
        <w:rPr>
          <w:rFonts w:ascii="Times New Roman" w:eastAsia="Georgia" w:hAnsi="Times New Roman" w:cs="Times New Roman"/>
          <w:sz w:val="24"/>
          <w:szCs w:val="24"/>
        </w:rPr>
        <w:t>As seen in figure 1, fl</w:t>
      </w:r>
      <w:r w:rsidR="00260D4A" w:rsidRPr="003B3498">
        <w:rPr>
          <w:rFonts w:ascii="Times New Roman" w:eastAsia="Georgia" w:hAnsi="Times New Roman" w:cs="Times New Roman"/>
          <w:sz w:val="24"/>
          <w:szCs w:val="24"/>
        </w:rPr>
        <w:t>exion withdrawal reflexes are important towards the viewing of the spinal cord processes due to the pathway of the pain signal being triggered by a receptor in which it is then sent to a sensory neuron that moves it to the integration center of the spinal cord</w:t>
      </w:r>
      <w:r w:rsidR="00257007" w:rsidRPr="003B3498">
        <w:rPr>
          <w:rFonts w:ascii="Times New Roman" w:eastAsia="Georgia" w:hAnsi="Times New Roman" w:cs="Times New Roman"/>
          <w:sz w:val="24"/>
          <w:szCs w:val="24"/>
        </w:rPr>
        <w:t xml:space="preserve">. The spinal cord has the job of sending the signal towards a motor neuron and impulses the flexion withdrawal reflex. In a healthy adult, these connections are easily </w:t>
      </w:r>
      <w:r w:rsidR="00170755" w:rsidRPr="003B3498">
        <w:rPr>
          <w:rFonts w:ascii="Times New Roman" w:eastAsia="Georgia" w:hAnsi="Times New Roman" w:cs="Times New Roman"/>
          <w:sz w:val="24"/>
          <w:szCs w:val="24"/>
        </w:rPr>
        <w:t>transferred,</w:t>
      </w:r>
      <w:r w:rsidR="00257007" w:rsidRPr="003B3498">
        <w:rPr>
          <w:rFonts w:ascii="Times New Roman" w:eastAsia="Georgia" w:hAnsi="Times New Roman" w:cs="Times New Roman"/>
          <w:sz w:val="24"/>
          <w:szCs w:val="24"/>
        </w:rPr>
        <w:t xml:space="preserve"> and</w:t>
      </w:r>
      <w:r w:rsidR="00170755" w:rsidRPr="003B3498">
        <w:rPr>
          <w:rFonts w:ascii="Times New Roman" w:eastAsia="Georgia" w:hAnsi="Times New Roman" w:cs="Times New Roman"/>
          <w:sz w:val="24"/>
          <w:szCs w:val="24"/>
        </w:rPr>
        <w:t xml:space="preserve"> activity runs smoothly because of the maturity of the nervous system, however infants do not react in the same way when their nervous system is still maturing. </w:t>
      </w:r>
      <w:r w:rsidR="00A64845" w:rsidRPr="003B3498">
        <w:rPr>
          <w:rFonts w:ascii="Times New Roman" w:eastAsia="Georgia" w:hAnsi="Times New Roman" w:cs="Times New Roman"/>
          <w:sz w:val="24"/>
          <w:szCs w:val="24"/>
        </w:rPr>
        <w:t>Premature</w:t>
      </w:r>
      <w:r w:rsidR="00445FDC" w:rsidRPr="003B3498">
        <w:rPr>
          <w:rFonts w:ascii="Times New Roman" w:eastAsia="Georgia" w:hAnsi="Times New Roman" w:cs="Times New Roman"/>
          <w:sz w:val="24"/>
          <w:szCs w:val="24"/>
        </w:rPr>
        <w:t xml:space="preserve"> infants have been shown to be intensively sensitive to low intensity</w:t>
      </w:r>
      <w:r w:rsidR="00970771" w:rsidRPr="003B3498">
        <w:rPr>
          <w:rFonts w:ascii="Times New Roman" w:eastAsia="Georgia" w:hAnsi="Times New Roman" w:cs="Times New Roman"/>
          <w:sz w:val="24"/>
          <w:szCs w:val="24"/>
        </w:rPr>
        <w:t xml:space="preserve"> stimulation and more sensitive than newborns (Andre</w:t>
      </w:r>
      <w:r w:rsidR="00F3156B" w:rsidRPr="003B3498">
        <w:rPr>
          <w:rFonts w:ascii="Times New Roman" w:eastAsia="Georgia" w:hAnsi="Times New Roman" w:cs="Times New Roman"/>
          <w:sz w:val="24"/>
          <w:szCs w:val="24"/>
        </w:rPr>
        <w:t xml:space="preserve"> 2020).</w:t>
      </w:r>
      <w:r w:rsidR="00445FDC" w:rsidRPr="003B3498">
        <w:rPr>
          <w:rFonts w:ascii="Times New Roman" w:eastAsia="Georgia" w:hAnsi="Times New Roman" w:cs="Times New Roman"/>
          <w:sz w:val="24"/>
          <w:szCs w:val="24"/>
        </w:rPr>
        <w:t xml:space="preserve"> </w:t>
      </w:r>
      <w:r w:rsidR="00970771" w:rsidRPr="003B3498">
        <w:rPr>
          <w:rFonts w:ascii="Times New Roman" w:eastAsia="Georgia" w:hAnsi="Times New Roman" w:cs="Times New Roman"/>
          <w:sz w:val="24"/>
          <w:szCs w:val="24"/>
        </w:rPr>
        <w:t>N</w:t>
      </w:r>
      <w:r w:rsidR="19E4EEA7" w:rsidRPr="003B3498">
        <w:rPr>
          <w:rFonts w:ascii="Times New Roman" w:eastAsia="Georgia" w:hAnsi="Times New Roman" w:cs="Times New Roman"/>
          <w:sz w:val="24"/>
          <w:szCs w:val="24"/>
        </w:rPr>
        <w:t>ewborns and young infants have been shown to have flexion reflex withdrawals from low intensity stimulation</w:t>
      </w:r>
      <w:r w:rsidR="004C04AC" w:rsidRPr="003B3498">
        <w:rPr>
          <w:rFonts w:ascii="Times New Roman" w:eastAsia="Georgia" w:hAnsi="Times New Roman" w:cs="Times New Roman"/>
          <w:sz w:val="24"/>
          <w:szCs w:val="24"/>
        </w:rPr>
        <w:t xml:space="preserve"> </w:t>
      </w:r>
      <w:r w:rsidR="004C04AC" w:rsidRPr="003B3498">
        <w:rPr>
          <w:rFonts w:ascii="Times New Roman" w:eastAsia="Georgia" w:hAnsi="Times New Roman" w:cs="Times New Roman"/>
          <w:sz w:val="24"/>
          <w:szCs w:val="24"/>
        </w:rPr>
        <w:lastRenderedPageBreak/>
        <w:t>(</w:t>
      </w:r>
      <w:r w:rsidR="004C04AC" w:rsidRPr="003B3498">
        <w:rPr>
          <w:rStyle w:val="normaltextrun"/>
          <w:rFonts w:ascii="Times New Roman" w:hAnsi="Times New Roman" w:cs="Times New Roman"/>
          <w:sz w:val="24"/>
          <w:szCs w:val="24"/>
        </w:rPr>
        <w:t>Hatfield</w:t>
      </w:r>
      <w:r w:rsidR="00B4338F" w:rsidRPr="003B3498">
        <w:rPr>
          <w:rStyle w:val="normaltextrun"/>
          <w:rFonts w:ascii="Times New Roman" w:hAnsi="Times New Roman" w:cs="Times New Roman"/>
          <w:sz w:val="24"/>
          <w:szCs w:val="24"/>
        </w:rPr>
        <w:t xml:space="preserve"> 2014</w:t>
      </w:r>
      <w:r w:rsidR="004C04AC" w:rsidRPr="003B3498">
        <w:rPr>
          <w:rStyle w:val="normaltextrun"/>
          <w:rFonts w:ascii="Times New Roman" w:hAnsi="Times New Roman" w:cs="Times New Roman"/>
          <w:sz w:val="24"/>
          <w:szCs w:val="24"/>
        </w:rPr>
        <w:t>)</w:t>
      </w:r>
      <w:r w:rsidR="19E4EEA7" w:rsidRPr="003B3498">
        <w:rPr>
          <w:rFonts w:ascii="Times New Roman" w:eastAsia="Georgia" w:hAnsi="Times New Roman" w:cs="Times New Roman"/>
          <w:sz w:val="24"/>
          <w:szCs w:val="24"/>
        </w:rPr>
        <w:t>.</w:t>
      </w:r>
      <w:r w:rsidR="01D72B7D" w:rsidRPr="003B3498">
        <w:rPr>
          <w:rFonts w:ascii="Times New Roman" w:eastAsia="Georgia" w:hAnsi="Times New Roman" w:cs="Times New Roman"/>
          <w:sz w:val="24"/>
          <w:szCs w:val="24"/>
        </w:rPr>
        <w:t xml:space="preserve"> Their withdrawal reflexes are normally </w:t>
      </w:r>
      <w:r w:rsidR="54E0A36F" w:rsidRPr="003B3498">
        <w:rPr>
          <w:rFonts w:ascii="Times New Roman" w:eastAsia="Georgia" w:hAnsi="Times New Roman" w:cs="Times New Roman"/>
          <w:sz w:val="24"/>
          <w:szCs w:val="24"/>
        </w:rPr>
        <w:t xml:space="preserve">unusually strong when compared to intensity applied and </w:t>
      </w:r>
      <w:r w:rsidR="01D72B7D" w:rsidRPr="003B3498">
        <w:rPr>
          <w:rFonts w:ascii="Times New Roman" w:eastAsia="Georgia" w:hAnsi="Times New Roman" w:cs="Times New Roman"/>
          <w:sz w:val="24"/>
          <w:szCs w:val="24"/>
        </w:rPr>
        <w:t>include both legs without much distinction on which leg the stimulation was applied to.</w:t>
      </w:r>
      <w:r w:rsidR="7253C917" w:rsidRPr="003B3498">
        <w:rPr>
          <w:rFonts w:ascii="Times New Roman" w:eastAsia="Georgia" w:hAnsi="Times New Roman" w:cs="Times New Roman"/>
          <w:sz w:val="24"/>
          <w:szCs w:val="24"/>
        </w:rPr>
        <w:t xml:space="preserve"> As newborns develop into later infancy, their flexion reflex withdrawals come from higher intensity stimulation and </w:t>
      </w:r>
      <w:r w:rsidR="6F23BFD0" w:rsidRPr="003B3498">
        <w:rPr>
          <w:rFonts w:ascii="Times New Roman" w:eastAsia="Georgia" w:hAnsi="Times New Roman" w:cs="Times New Roman"/>
          <w:sz w:val="24"/>
          <w:szCs w:val="24"/>
        </w:rPr>
        <w:t>begin</w:t>
      </w:r>
      <w:r w:rsidR="686CB660" w:rsidRPr="003B3498">
        <w:rPr>
          <w:rFonts w:ascii="Times New Roman" w:eastAsia="Georgia" w:hAnsi="Times New Roman" w:cs="Times New Roman"/>
          <w:sz w:val="24"/>
          <w:szCs w:val="24"/>
        </w:rPr>
        <w:t xml:space="preserve"> to develop a distinction between where the stimulation was applied meaning the reflex changes from bilateral to unilateral</w:t>
      </w:r>
      <w:r w:rsidR="004C04AC" w:rsidRPr="003B3498">
        <w:rPr>
          <w:rFonts w:ascii="Times New Roman" w:eastAsia="Georgia" w:hAnsi="Times New Roman" w:cs="Times New Roman"/>
          <w:sz w:val="24"/>
          <w:szCs w:val="24"/>
        </w:rPr>
        <w:t xml:space="preserve"> (</w:t>
      </w:r>
      <w:proofErr w:type="spellStart"/>
      <w:r w:rsidR="004C04AC" w:rsidRPr="003B3498">
        <w:rPr>
          <w:rStyle w:val="normaltextrun"/>
          <w:rFonts w:ascii="Times New Roman" w:hAnsi="Times New Roman" w:cs="Times New Roman"/>
          <w:sz w:val="24"/>
          <w:szCs w:val="24"/>
        </w:rPr>
        <w:t>Abdulkader</w:t>
      </w:r>
      <w:proofErr w:type="spellEnd"/>
      <w:r w:rsidR="00B4338F" w:rsidRPr="003B3498">
        <w:rPr>
          <w:rStyle w:val="normaltextrun"/>
          <w:rFonts w:ascii="Times New Roman" w:hAnsi="Times New Roman" w:cs="Times New Roman"/>
          <w:sz w:val="24"/>
          <w:szCs w:val="24"/>
        </w:rPr>
        <w:t xml:space="preserve"> 2008</w:t>
      </w:r>
      <w:r w:rsidR="004C04AC" w:rsidRPr="003B3498">
        <w:rPr>
          <w:rFonts w:ascii="Times New Roman" w:eastAsia="Georgia" w:hAnsi="Times New Roman" w:cs="Times New Roman"/>
          <w:sz w:val="24"/>
          <w:szCs w:val="24"/>
        </w:rPr>
        <w:t>)</w:t>
      </w:r>
      <w:r w:rsidR="006D7881" w:rsidRPr="003B3498">
        <w:rPr>
          <w:rFonts w:ascii="Times New Roman" w:eastAsia="Georgia" w:hAnsi="Times New Roman" w:cs="Times New Roman"/>
          <w:sz w:val="24"/>
          <w:szCs w:val="24"/>
        </w:rPr>
        <w:t xml:space="preserve">. </w:t>
      </w:r>
      <w:r w:rsidR="03BCAB94" w:rsidRPr="003B3498">
        <w:rPr>
          <w:rFonts w:ascii="Times New Roman" w:eastAsia="Georgia" w:hAnsi="Times New Roman" w:cs="Times New Roman"/>
          <w:sz w:val="24"/>
          <w:szCs w:val="24"/>
        </w:rPr>
        <w:t xml:space="preserve"> </w:t>
      </w:r>
      <w:r w:rsidR="47C51FAE" w:rsidRPr="003B3498">
        <w:rPr>
          <w:rFonts w:ascii="Times New Roman" w:eastAsia="Georgia" w:hAnsi="Times New Roman" w:cs="Times New Roman"/>
          <w:sz w:val="24"/>
          <w:szCs w:val="24"/>
        </w:rPr>
        <w:t>It has been shown that as a human grows older, their nervous system matures, and sensory thresholds increase. As the adult nervous system is mature, touch stimuli are high in intensity to evoke reflex.</w:t>
      </w:r>
      <w:r w:rsidR="00342D73" w:rsidRPr="003B3498">
        <w:rPr>
          <w:rFonts w:ascii="Times New Roman" w:eastAsia="Georgia" w:hAnsi="Times New Roman" w:cs="Times New Roman"/>
          <w:noProof/>
          <w:sz w:val="24"/>
          <w:szCs w:val="24"/>
        </w:rPr>
        <w:t xml:space="preserve"> </w:t>
      </w:r>
    </w:p>
    <w:p w14:paraId="4F02BCB7" w14:textId="47F6AF7E" w:rsidR="005E6381" w:rsidRPr="003B3498" w:rsidRDefault="005E6381" w:rsidP="00552A3E">
      <w:pPr>
        <w:spacing w:line="240" w:lineRule="auto"/>
        <w:ind w:firstLine="720"/>
        <w:rPr>
          <w:rFonts w:ascii="Times New Roman" w:eastAsia="Georgia" w:hAnsi="Times New Roman" w:cs="Times New Roman"/>
          <w:noProof/>
          <w:sz w:val="24"/>
          <w:szCs w:val="24"/>
        </w:rPr>
      </w:pPr>
      <w:r w:rsidRPr="003B3498">
        <w:rPr>
          <w:rFonts w:ascii="Times New Roman" w:eastAsia="Georgia" w:hAnsi="Times New Roman" w:cs="Times New Roman"/>
          <w:noProof/>
          <w:sz w:val="24"/>
          <w:szCs w:val="24"/>
        </w:rPr>
        <w:t xml:space="preserve">Adults have been examined and show that </w:t>
      </w:r>
      <w:r w:rsidR="004A40D1" w:rsidRPr="003B3498">
        <w:rPr>
          <w:rFonts w:ascii="Times New Roman" w:eastAsia="Georgia" w:hAnsi="Times New Roman" w:cs="Times New Roman"/>
          <w:noProof/>
          <w:sz w:val="24"/>
          <w:szCs w:val="24"/>
        </w:rPr>
        <w:t>more sensitivity is t</w:t>
      </w:r>
      <w:r w:rsidR="00F14108" w:rsidRPr="003B3498">
        <w:rPr>
          <w:rFonts w:ascii="Times New Roman" w:eastAsia="Georgia" w:hAnsi="Times New Roman" w:cs="Times New Roman"/>
          <w:noProof/>
          <w:sz w:val="24"/>
          <w:szCs w:val="24"/>
        </w:rPr>
        <w:t>o be associated with the male sex, those who test asleep, and those who have previous ICU experience</w:t>
      </w:r>
      <w:r w:rsidR="008B0C51" w:rsidRPr="003B3498">
        <w:rPr>
          <w:rFonts w:ascii="Times New Roman" w:eastAsia="Georgia" w:hAnsi="Times New Roman" w:cs="Times New Roman"/>
          <w:noProof/>
          <w:sz w:val="24"/>
          <w:szCs w:val="24"/>
        </w:rPr>
        <w:t xml:space="preserve"> (Tors</w:t>
      </w:r>
      <w:r w:rsidR="00F422BD" w:rsidRPr="003B3498">
        <w:rPr>
          <w:rFonts w:ascii="Times New Roman" w:eastAsia="Georgia" w:hAnsi="Times New Roman" w:cs="Times New Roman"/>
          <w:noProof/>
          <w:sz w:val="24"/>
          <w:szCs w:val="24"/>
        </w:rPr>
        <w:t>n</w:t>
      </w:r>
      <w:r w:rsidR="008B0C51" w:rsidRPr="003B3498">
        <w:rPr>
          <w:rFonts w:ascii="Times New Roman" w:eastAsia="Georgia" w:hAnsi="Times New Roman" w:cs="Times New Roman"/>
          <w:noProof/>
          <w:sz w:val="24"/>
          <w:szCs w:val="24"/>
        </w:rPr>
        <w:t>ey 2007)</w:t>
      </w:r>
      <w:r w:rsidR="00F14108" w:rsidRPr="003B3498">
        <w:rPr>
          <w:rFonts w:ascii="Times New Roman" w:eastAsia="Georgia" w:hAnsi="Times New Roman" w:cs="Times New Roman"/>
          <w:noProof/>
          <w:sz w:val="24"/>
          <w:szCs w:val="24"/>
        </w:rPr>
        <w:t xml:space="preserve">. Considering the familiarity of </w:t>
      </w:r>
      <w:r w:rsidR="00BE0746" w:rsidRPr="003B3498">
        <w:rPr>
          <w:rFonts w:ascii="Times New Roman" w:eastAsia="Georgia" w:hAnsi="Times New Roman" w:cs="Times New Roman"/>
          <w:noProof/>
          <w:sz w:val="24"/>
          <w:szCs w:val="24"/>
        </w:rPr>
        <w:t>the nervoous system, infants need to be viewed for these major factors as well.</w:t>
      </w:r>
      <w:r w:rsidR="00ED5356" w:rsidRPr="003B3498">
        <w:rPr>
          <w:rFonts w:ascii="Times New Roman" w:eastAsia="Georgia" w:hAnsi="Times New Roman" w:cs="Times New Roman"/>
          <w:noProof/>
          <w:sz w:val="24"/>
          <w:szCs w:val="24"/>
        </w:rPr>
        <w:t xml:space="preserve"> </w:t>
      </w:r>
    </w:p>
    <w:p w14:paraId="75812384" w14:textId="183712ED" w:rsidR="399372DB" w:rsidRPr="00273A18" w:rsidRDefault="006841CC" w:rsidP="007E0DD6">
      <w:pPr>
        <w:spacing w:line="360" w:lineRule="auto"/>
        <w:ind w:firstLine="720"/>
        <w:rPr>
          <w:rFonts w:ascii="Times New Roman" w:hAnsi="Times New Roman" w:cs="Times New Roman"/>
          <w:b/>
          <w:bCs/>
        </w:rPr>
      </w:pPr>
      <w:r w:rsidRPr="00EE4CB8">
        <w:rPr>
          <w:b/>
          <w:bCs/>
          <w:noProof/>
        </w:rPr>
        <w:drawing>
          <wp:anchor distT="0" distB="0" distL="114300" distR="114300" simplePos="0" relativeHeight="251662336" behindDoc="1" locked="0" layoutInCell="1" allowOverlap="1" wp14:anchorId="75CA12AF" wp14:editId="66DA66F2">
            <wp:simplePos x="0" y="0"/>
            <wp:positionH relativeFrom="margin">
              <wp:posOffset>103336</wp:posOffset>
            </wp:positionH>
            <wp:positionV relativeFrom="paragraph">
              <wp:posOffset>250190</wp:posOffset>
            </wp:positionV>
            <wp:extent cx="5857240" cy="5213985"/>
            <wp:effectExtent l="76200" t="76200" r="124460" b="139065"/>
            <wp:wrapTopAndBottom/>
            <wp:docPr id="3" name="Picture 3" descr="2 Schematic representation of the monosynaptic (1, 2) and polysynapti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Schematic representation of the monosynaptic (1, 2) and polysynaptic...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240" cy="5213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16AC1" w:rsidRPr="00EE4CB8">
        <w:rPr>
          <w:rFonts w:ascii="Times New Roman" w:eastAsia="Georgia" w:hAnsi="Times New Roman" w:cs="Times New Roman"/>
          <w:b/>
          <w:bCs/>
          <w:noProof/>
        </w:rPr>
        <w:t>Figure 1.</w:t>
      </w:r>
      <w:r w:rsidR="00C16AC1">
        <w:rPr>
          <w:rFonts w:ascii="Times New Roman" w:eastAsia="Georgia" w:hAnsi="Times New Roman" w:cs="Times New Roman"/>
          <w:noProof/>
        </w:rPr>
        <w:t xml:space="preserve"> Flexion withdrawal reflexes involve spinal cord connectivity and muscle contractions</w:t>
      </w:r>
    </w:p>
    <w:p w14:paraId="39FACD3B" w14:textId="5FBA059F" w:rsidR="2CF629FC" w:rsidRPr="003B3498" w:rsidRDefault="2CF629FC"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lastRenderedPageBreak/>
        <w:t>Studies have focused on the flexion reflex from touch stimuli in infants who have been hospitalized</w:t>
      </w:r>
      <w:r w:rsidR="50CFE608" w:rsidRPr="003B3498">
        <w:rPr>
          <w:rFonts w:ascii="Times New Roman" w:eastAsia="Georgia" w:hAnsi="Times New Roman" w:cs="Times New Roman"/>
          <w:sz w:val="24"/>
          <w:szCs w:val="24"/>
        </w:rPr>
        <w:t xml:space="preserve"> and examine the responses when they are admitted,</w:t>
      </w:r>
      <w:r w:rsidRPr="003B3498">
        <w:rPr>
          <w:rFonts w:ascii="Times New Roman" w:eastAsia="Georgia" w:hAnsi="Times New Roman" w:cs="Times New Roman"/>
          <w:sz w:val="24"/>
          <w:szCs w:val="24"/>
        </w:rPr>
        <w:t xml:space="preserve"> however little studies have examined the progression of reflexes </w:t>
      </w:r>
      <w:r w:rsidR="558024C3" w:rsidRPr="003B3498">
        <w:rPr>
          <w:rFonts w:ascii="Times New Roman" w:eastAsia="Georgia" w:hAnsi="Times New Roman" w:cs="Times New Roman"/>
          <w:sz w:val="24"/>
          <w:szCs w:val="24"/>
        </w:rPr>
        <w:t>over time specifically the first year of life</w:t>
      </w:r>
      <w:r w:rsidR="004C04AC" w:rsidRPr="003B3498">
        <w:rPr>
          <w:rFonts w:ascii="Times New Roman" w:eastAsia="Georgia" w:hAnsi="Times New Roman" w:cs="Times New Roman"/>
          <w:sz w:val="24"/>
          <w:szCs w:val="24"/>
        </w:rPr>
        <w:t xml:space="preserve"> (</w:t>
      </w:r>
      <w:proofErr w:type="spellStart"/>
      <w:r w:rsidR="004C04AC" w:rsidRPr="003B3498">
        <w:rPr>
          <w:rStyle w:val="normaltextrun"/>
          <w:rFonts w:ascii="Times New Roman" w:hAnsi="Times New Roman" w:cs="Times New Roman"/>
          <w:sz w:val="24"/>
          <w:szCs w:val="24"/>
        </w:rPr>
        <w:t>Abdulkader</w:t>
      </w:r>
      <w:proofErr w:type="spellEnd"/>
      <w:r w:rsidR="00F422BD" w:rsidRPr="003B3498">
        <w:rPr>
          <w:rStyle w:val="normaltextrun"/>
          <w:rFonts w:ascii="Times New Roman" w:hAnsi="Times New Roman" w:cs="Times New Roman"/>
          <w:sz w:val="24"/>
          <w:szCs w:val="24"/>
        </w:rPr>
        <w:t xml:space="preserve"> 2008</w:t>
      </w:r>
      <w:r w:rsidR="004C04AC" w:rsidRPr="003B3498">
        <w:rPr>
          <w:rStyle w:val="normaltextrun"/>
          <w:rFonts w:ascii="Times New Roman" w:hAnsi="Times New Roman" w:cs="Times New Roman"/>
          <w:color w:val="202F66"/>
          <w:sz w:val="24"/>
          <w:szCs w:val="24"/>
        </w:rPr>
        <w:t>)</w:t>
      </w:r>
      <w:r w:rsidR="558024C3" w:rsidRPr="003B3498">
        <w:rPr>
          <w:rFonts w:ascii="Times New Roman" w:eastAsia="Georgia" w:hAnsi="Times New Roman" w:cs="Times New Roman"/>
          <w:sz w:val="24"/>
          <w:szCs w:val="24"/>
        </w:rPr>
        <w:t>.</w:t>
      </w:r>
      <w:r w:rsidRPr="003B3498">
        <w:rPr>
          <w:rFonts w:ascii="Times New Roman" w:eastAsia="Georgia" w:hAnsi="Times New Roman" w:cs="Times New Roman"/>
          <w:sz w:val="24"/>
          <w:szCs w:val="24"/>
        </w:rPr>
        <w:t xml:space="preserve"> </w:t>
      </w:r>
      <w:r w:rsidR="43A5D5B0" w:rsidRPr="003B3498">
        <w:rPr>
          <w:rFonts w:ascii="Times New Roman" w:eastAsia="Georgia" w:hAnsi="Times New Roman" w:cs="Times New Roman"/>
          <w:sz w:val="24"/>
          <w:szCs w:val="24"/>
        </w:rPr>
        <w:t xml:space="preserve">Our study </w:t>
      </w:r>
      <w:r w:rsidR="007E30D9" w:rsidRPr="003B3498">
        <w:rPr>
          <w:rFonts w:ascii="Times New Roman" w:eastAsia="Georgia" w:hAnsi="Times New Roman" w:cs="Times New Roman"/>
          <w:sz w:val="24"/>
          <w:szCs w:val="24"/>
        </w:rPr>
        <w:t xml:space="preserve">focuses on children who were both hospitalized and not hospitalized. Our study held multiple study </w:t>
      </w:r>
      <w:r w:rsidR="19B6AFCF" w:rsidRPr="003B3498">
        <w:rPr>
          <w:rFonts w:ascii="Times New Roman" w:eastAsia="Georgia" w:hAnsi="Times New Roman" w:cs="Times New Roman"/>
          <w:sz w:val="24"/>
          <w:szCs w:val="24"/>
        </w:rPr>
        <w:t xml:space="preserve">visits in the first 12 months of </w:t>
      </w:r>
      <w:r w:rsidR="23340B60" w:rsidRPr="003B3498">
        <w:rPr>
          <w:rFonts w:ascii="Times New Roman" w:eastAsia="Georgia" w:hAnsi="Times New Roman" w:cs="Times New Roman"/>
          <w:sz w:val="24"/>
          <w:szCs w:val="24"/>
        </w:rPr>
        <w:t xml:space="preserve">the </w:t>
      </w:r>
      <w:r w:rsidR="19B6AFCF" w:rsidRPr="003B3498">
        <w:rPr>
          <w:rFonts w:ascii="Times New Roman" w:eastAsia="Georgia" w:hAnsi="Times New Roman" w:cs="Times New Roman"/>
          <w:sz w:val="24"/>
          <w:szCs w:val="24"/>
        </w:rPr>
        <w:t>infants’ lives, where mechanical stimulation</w:t>
      </w:r>
      <w:r w:rsidR="28A7A6F8" w:rsidRPr="003B3498">
        <w:rPr>
          <w:rFonts w:ascii="Times New Roman" w:eastAsia="Georgia" w:hAnsi="Times New Roman" w:cs="Times New Roman"/>
          <w:sz w:val="24"/>
          <w:szCs w:val="24"/>
        </w:rPr>
        <w:t xml:space="preserve"> was applied with von Frey monofilaments</w:t>
      </w:r>
      <w:r w:rsidR="5F30F40E" w:rsidRPr="003B3498">
        <w:rPr>
          <w:rFonts w:ascii="Times New Roman" w:eastAsia="Georgia" w:hAnsi="Times New Roman" w:cs="Times New Roman"/>
          <w:sz w:val="24"/>
          <w:szCs w:val="24"/>
        </w:rPr>
        <w:t xml:space="preserve"> at building intensities.</w:t>
      </w:r>
    </w:p>
    <w:p w14:paraId="2848CD0C" w14:textId="2BC1AF6F" w:rsidR="5F2D0C04" w:rsidRPr="00E36758" w:rsidRDefault="00A84A49" w:rsidP="002E429A">
      <w:pPr>
        <w:spacing w:line="360" w:lineRule="auto"/>
        <w:rPr>
          <w:rFonts w:ascii="Times New Roman" w:hAnsi="Times New Roman" w:cs="Times New Roman"/>
          <w:b/>
          <w:bCs/>
          <w:sz w:val="32"/>
          <w:szCs w:val="32"/>
        </w:rPr>
      </w:pPr>
      <w:r w:rsidRPr="00E36758">
        <w:rPr>
          <w:rFonts w:ascii="Times New Roman" w:hAnsi="Times New Roman" w:cs="Times New Roman"/>
          <w:b/>
          <w:bCs/>
          <w:sz w:val="32"/>
          <w:szCs w:val="32"/>
        </w:rPr>
        <w:t>Statement of Purpose</w:t>
      </w:r>
    </w:p>
    <w:p w14:paraId="697A3199" w14:textId="62F98CBF" w:rsidR="1215646F" w:rsidRPr="003B3498" w:rsidRDefault="569CADE2"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We aim</w:t>
      </w:r>
      <w:r w:rsidR="1BA82978" w:rsidRPr="003B3498">
        <w:rPr>
          <w:rFonts w:ascii="Times New Roman" w:eastAsia="Georgia" w:hAnsi="Times New Roman" w:cs="Times New Roman"/>
          <w:sz w:val="24"/>
          <w:szCs w:val="24"/>
        </w:rPr>
        <w:t>ed</w:t>
      </w:r>
      <w:r w:rsidRPr="003B3498">
        <w:rPr>
          <w:rFonts w:ascii="Times New Roman" w:eastAsia="Georgia" w:hAnsi="Times New Roman" w:cs="Times New Roman"/>
          <w:sz w:val="24"/>
          <w:szCs w:val="24"/>
        </w:rPr>
        <w:t xml:space="preserve"> to investigate infant sensory threshold development in the first year of life in humans</w:t>
      </w:r>
      <w:r w:rsidR="6369DAAA" w:rsidRPr="003B3498">
        <w:rPr>
          <w:rFonts w:ascii="Times New Roman" w:eastAsia="Georgia" w:hAnsi="Times New Roman" w:cs="Times New Roman"/>
          <w:sz w:val="24"/>
          <w:szCs w:val="24"/>
        </w:rPr>
        <w:t xml:space="preserve">. We also </w:t>
      </w:r>
      <w:r w:rsidRPr="003B3498">
        <w:rPr>
          <w:rFonts w:ascii="Times New Roman" w:eastAsia="Georgia" w:hAnsi="Times New Roman" w:cs="Times New Roman"/>
          <w:sz w:val="24"/>
          <w:szCs w:val="24"/>
        </w:rPr>
        <w:t>use</w:t>
      </w:r>
      <w:r w:rsidR="29E55ACA" w:rsidRPr="003B3498">
        <w:rPr>
          <w:rFonts w:ascii="Times New Roman" w:eastAsia="Georgia" w:hAnsi="Times New Roman" w:cs="Times New Roman"/>
          <w:sz w:val="24"/>
          <w:szCs w:val="24"/>
        </w:rPr>
        <w:t>d</w:t>
      </w:r>
      <w:r w:rsidRPr="003B3498">
        <w:rPr>
          <w:rFonts w:ascii="Times New Roman" w:eastAsia="Georgia" w:hAnsi="Times New Roman" w:cs="Times New Roman"/>
          <w:sz w:val="24"/>
          <w:szCs w:val="24"/>
        </w:rPr>
        <w:t xml:space="preserve"> secondary measures</w:t>
      </w:r>
      <w:r w:rsidR="4FDB75DD" w:rsidRPr="003B3498">
        <w:rPr>
          <w:rFonts w:ascii="Times New Roman" w:eastAsia="Georgia" w:hAnsi="Times New Roman" w:cs="Times New Roman"/>
          <w:sz w:val="24"/>
          <w:szCs w:val="24"/>
        </w:rPr>
        <w:t xml:space="preserve"> of sex, sleep state, and hospitalization or NICU experience to view</w:t>
      </w:r>
      <w:r w:rsidR="5C7B9C78" w:rsidRPr="003B3498">
        <w:rPr>
          <w:rFonts w:ascii="Times New Roman" w:eastAsia="Georgia" w:hAnsi="Times New Roman" w:cs="Times New Roman"/>
          <w:sz w:val="24"/>
          <w:szCs w:val="24"/>
        </w:rPr>
        <w:t xml:space="preserve"> the effects of these factors on the development of sensory thresholds. </w:t>
      </w:r>
      <w:r w:rsidR="128B5D77" w:rsidRPr="003B3498">
        <w:rPr>
          <w:rFonts w:ascii="Times New Roman" w:eastAsia="Georgia" w:hAnsi="Times New Roman" w:cs="Times New Roman"/>
          <w:sz w:val="24"/>
          <w:szCs w:val="24"/>
        </w:rPr>
        <w:t xml:space="preserve">We hypothesized </w:t>
      </w:r>
      <w:r w:rsidR="220EBFDC" w:rsidRPr="003B3498">
        <w:rPr>
          <w:rFonts w:ascii="Times New Roman" w:eastAsia="Georgia" w:hAnsi="Times New Roman" w:cs="Times New Roman"/>
          <w:sz w:val="24"/>
          <w:szCs w:val="24"/>
        </w:rPr>
        <w:t xml:space="preserve">that infants would grow less sensitive to touch as they age which would mean that </w:t>
      </w:r>
      <w:r w:rsidR="3F81E584" w:rsidRPr="003B3498">
        <w:rPr>
          <w:rFonts w:ascii="Times New Roman" w:eastAsia="Georgia" w:hAnsi="Times New Roman" w:cs="Times New Roman"/>
          <w:sz w:val="24"/>
          <w:szCs w:val="24"/>
        </w:rPr>
        <w:t>their</w:t>
      </w:r>
      <w:r w:rsidR="220EBFDC" w:rsidRPr="003B3498">
        <w:rPr>
          <w:rFonts w:ascii="Times New Roman" w:eastAsia="Georgia" w:hAnsi="Times New Roman" w:cs="Times New Roman"/>
          <w:sz w:val="24"/>
          <w:szCs w:val="24"/>
        </w:rPr>
        <w:t xml:space="preserve"> sensory thresholds would i</w:t>
      </w:r>
      <w:r w:rsidR="1C07B86B" w:rsidRPr="003B3498">
        <w:rPr>
          <w:rFonts w:ascii="Times New Roman" w:eastAsia="Georgia" w:hAnsi="Times New Roman" w:cs="Times New Roman"/>
          <w:sz w:val="24"/>
          <w:szCs w:val="24"/>
        </w:rPr>
        <w:t>ncrease</w:t>
      </w:r>
      <w:r w:rsidR="08F501B2" w:rsidRPr="003B3498">
        <w:rPr>
          <w:rFonts w:ascii="Times New Roman" w:eastAsia="Georgia" w:hAnsi="Times New Roman" w:cs="Times New Roman"/>
          <w:sz w:val="24"/>
          <w:szCs w:val="24"/>
        </w:rPr>
        <w:t>. We also hypothesized that males</w:t>
      </w:r>
      <w:r w:rsidR="0016413F" w:rsidRPr="003B3498">
        <w:rPr>
          <w:rFonts w:ascii="Times New Roman" w:eastAsia="Georgia" w:hAnsi="Times New Roman" w:cs="Times New Roman"/>
          <w:sz w:val="24"/>
          <w:szCs w:val="24"/>
        </w:rPr>
        <w:t>, infants who were asleep, and those with NICU experience would be more sensitiv</w:t>
      </w:r>
      <w:r w:rsidR="00C135CE" w:rsidRPr="003B3498">
        <w:rPr>
          <w:rFonts w:ascii="Times New Roman" w:eastAsia="Georgia" w:hAnsi="Times New Roman" w:cs="Times New Roman"/>
          <w:sz w:val="24"/>
          <w:szCs w:val="24"/>
        </w:rPr>
        <w:t>e.</w:t>
      </w:r>
    </w:p>
    <w:p w14:paraId="2499EE79" w14:textId="2473B623" w:rsidR="5F2D0C04" w:rsidRPr="00E36758" w:rsidRDefault="5F2D0C04" w:rsidP="002E429A">
      <w:pPr>
        <w:spacing w:line="360" w:lineRule="auto"/>
        <w:rPr>
          <w:rFonts w:ascii="Times New Roman" w:hAnsi="Times New Roman" w:cs="Times New Roman"/>
          <w:b/>
          <w:bCs/>
          <w:sz w:val="32"/>
          <w:szCs w:val="32"/>
        </w:rPr>
      </w:pPr>
      <w:r w:rsidRPr="00E36758">
        <w:rPr>
          <w:rFonts w:ascii="Times New Roman" w:hAnsi="Times New Roman" w:cs="Times New Roman"/>
          <w:b/>
          <w:bCs/>
          <w:sz w:val="32"/>
          <w:szCs w:val="32"/>
        </w:rPr>
        <w:t xml:space="preserve">Methods </w:t>
      </w:r>
      <w:r w:rsidR="00A97062" w:rsidRPr="00E36758">
        <w:rPr>
          <w:rFonts w:ascii="Times New Roman" w:hAnsi="Times New Roman" w:cs="Times New Roman"/>
          <w:b/>
          <w:bCs/>
          <w:sz w:val="32"/>
          <w:szCs w:val="32"/>
        </w:rPr>
        <w:t>and Materials</w:t>
      </w:r>
    </w:p>
    <w:p w14:paraId="1B3E173D" w14:textId="5D4E08DE" w:rsidR="5AE7DF17" w:rsidRPr="003B3498" w:rsidRDefault="5AE7DF17"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Infants of the ages 2, 4, and 10 months were subject to singular stimulation to view sensory thresholds and </w:t>
      </w:r>
      <w:r w:rsidR="7EC19B23" w:rsidRPr="003B3498">
        <w:rPr>
          <w:rFonts w:ascii="Times New Roman" w:eastAsia="Georgia" w:hAnsi="Times New Roman" w:cs="Times New Roman"/>
          <w:sz w:val="24"/>
          <w:szCs w:val="24"/>
        </w:rPr>
        <w:t xml:space="preserve">sensitization using flexion withdrawal reflexes. The Boston Children’s Hospital Institutional Research Board </w:t>
      </w:r>
      <w:r w:rsidR="1FF35AAD" w:rsidRPr="003B3498">
        <w:rPr>
          <w:rFonts w:ascii="Times New Roman" w:eastAsia="Georgia" w:hAnsi="Times New Roman" w:cs="Times New Roman"/>
          <w:sz w:val="24"/>
          <w:szCs w:val="24"/>
        </w:rPr>
        <w:t xml:space="preserve">gave ethical approval. Parents and guardians gave informed written consent through forms before starting any research on participants. </w:t>
      </w:r>
    </w:p>
    <w:p w14:paraId="4C4D5FC8" w14:textId="68C48025" w:rsidR="5D0E9C11" w:rsidRPr="003B3498" w:rsidRDefault="5D0E9C11"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Infants were recruited in Boston Children’s Hospital and around the Boston area. </w:t>
      </w:r>
      <w:r w:rsidR="7F7C0B29" w:rsidRPr="003B3498">
        <w:rPr>
          <w:rFonts w:ascii="Times New Roman" w:eastAsia="Georgia" w:hAnsi="Times New Roman" w:cs="Times New Roman"/>
          <w:sz w:val="24"/>
          <w:szCs w:val="24"/>
        </w:rPr>
        <w:t>Infants of both gender</w:t>
      </w:r>
      <w:r w:rsidR="005B1261" w:rsidRPr="003B3498">
        <w:rPr>
          <w:rFonts w:ascii="Times New Roman" w:eastAsia="Georgia" w:hAnsi="Times New Roman" w:cs="Times New Roman"/>
          <w:sz w:val="24"/>
          <w:szCs w:val="24"/>
        </w:rPr>
        <w:t xml:space="preserve">s </w:t>
      </w:r>
      <w:r w:rsidR="7F7C0B29" w:rsidRPr="003B3498">
        <w:rPr>
          <w:rFonts w:ascii="Times New Roman" w:eastAsia="Georgia" w:hAnsi="Times New Roman" w:cs="Times New Roman"/>
          <w:sz w:val="24"/>
          <w:szCs w:val="24"/>
        </w:rPr>
        <w:t xml:space="preserve">were accepted into the participant grouping </w:t>
      </w:r>
      <w:r w:rsidR="3333FEB0" w:rsidRPr="003B3498">
        <w:rPr>
          <w:rFonts w:ascii="Times New Roman" w:eastAsia="Georgia" w:hAnsi="Times New Roman" w:cs="Times New Roman"/>
          <w:sz w:val="24"/>
          <w:szCs w:val="24"/>
        </w:rPr>
        <w:t>if</w:t>
      </w:r>
      <w:r w:rsidR="7F7C0B29" w:rsidRPr="003B3498">
        <w:rPr>
          <w:rFonts w:ascii="Times New Roman" w:eastAsia="Georgia" w:hAnsi="Times New Roman" w:cs="Times New Roman"/>
          <w:sz w:val="24"/>
          <w:szCs w:val="24"/>
        </w:rPr>
        <w:t xml:space="preserve"> they complied with </w:t>
      </w:r>
      <w:r w:rsidR="3BD3C8ED" w:rsidRPr="003B3498">
        <w:rPr>
          <w:rFonts w:ascii="Times New Roman" w:eastAsia="Georgia" w:hAnsi="Times New Roman" w:cs="Times New Roman"/>
          <w:sz w:val="24"/>
          <w:szCs w:val="24"/>
        </w:rPr>
        <w:t xml:space="preserve">inclusion and exclusion criteria. </w:t>
      </w:r>
      <w:r w:rsidR="0FD74B73" w:rsidRPr="003B3498">
        <w:rPr>
          <w:rFonts w:ascii="Times New Roman" w:eastAsia="Georgia" w:hAnsi="Times New Roman" w:cs="Times New Roman"/>
          <w:sz w:val="24"/>
          <w:szCs w:val="24"/>
        </w:rPr>
        <w:t>Inclusion criteria included a gestational age of &gt; 32 weeks, nati</w:t>
      </w:r>
      <w:r w:rsidR="6255817C" w:rsidRPr="003B3498">
        <w:rPr>
          <w:rFonts w:ascii="Times New Roman" w:eastAsia="Georgia" w:hAnsi="Times New Roman" w:cs="Times New Roman"/>
          <w:sz w:val="24"/>
          <w:szCs w:val="24"/>
        </w:rPr>
        <w:t xml:space="preserve">ve English speakers, </w:t>
      </w:r>
      <w:r w:rsidR="7232FC69" w:rsidRPr="003B3498">
        <w:rPr>
          <w:rFonts w:ascii="Times New Roman" w:eastAsia="Georgia" w:hAnsi="Times New Roman" w:cs="Times New Roman"/>
          <w:sz w:val="24"/>
          <w:szCs w:val="24"/>
        </w:rPr>
        <w:t>and had or would have an exposure to anesthesia for a procedure longer than 45 minutes</w:t>
      </w:r>
      <w:r w:rsidR="309515C8" w:rsidRPr="003B3498">
        <w:rPr>
          <w:rFonts w:ascii="Times New Roman" w:eastAsia="Georgia" w:hAnsi="Times New Roman" w:cs="Times New Roman"/>
          <w:sz w:val="24"/>
          <w:szCs w:val="24"/>
        </w:rPr>
        <w:t xml:space="preserve"> (not applicable to control group). Exclusion criteria included history of clinical seizures, auditory or visual impairment</w:t>
      </w:r>
      <w:r w:rsidR="1220BC3A" w:rsidRPr="003B3498">
        <w:rPr>
          <w:rFonts w:ascii="Times New Roman" w:eastAsia="Georgia" w:hAnsi="Times New Roman" w:cs="Times New Roman"/>
          <w:sz w:val="24"/>
          <w:szCs w:val="24"/>
        </w:rPr>
        <w:t xml:space="preserve">, genetic disorders involving neurodevelopment, or other medical conditions that would </w:t>
      </w:r>
      <w:r w:rsidR="2822C8A8" w:rsidRPr="003B3498">
        <w:rPr>
          <w:rFonts w:ascii="Times New Roman" w:eastAsia="Georgia" w:hAnsi="Times New Roman" w:cs="Times New Roman"/>
          <w:sz w:val="24"/>
          <w:szCs w:val="24"/>
        </w:rPr>
        <w:t>prevent</w:t>
      </w:r>
      <w:r w:rsidR="1220BC3A" w:rsidRPr="003B3498">
        <w:rPr>
          <w:rFonts w:ascii="Times New Roman" w:eastAsia="Georgia" w:hAnsi="Times New Roman" w:cs="Times New Roman"/>
          <w:sz w:val="24"/>
          <w:szCs w:val="24"/>
        </w:rPr>
        <w:t xml:space="preserve"> leg movement responses.</w:t>
      </w:r>
    </w:p>
    <w:p w14:paraId="01A1DF38" w14:textId="6C2F0694" w:rsidR="527C7FF1" w:rsidRPr="003B3498" w:rsidRDefault="527C7FF1"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Infants were placed in two positions, which included sitting up with free mobility of the legs or laying down on their backs. </w:t>
      </w:r>
      <w:r w:rsidR="17281825" w:rsidRPr="003B3498">
        <w:rPr>
          <w:rFonts w:ascii="Times New Roman" w:eastAsia="Georgia" w:hAnsi="Times New Roman" w:cs="Times New Roman"/>
          <w:sz w:val="24"/>
          <w:szCs w:val="24"/>
        </w:rPr>
        <w:t xml:space="preserve">To find sensory thresholds, von Frey hair stimulators were applied to each participant’s plantar surface of their left foot for 2 seconds before releasing stimulation. </w:t>
      </w:r>
      <w:r w:rsidR="383C91AA" w:rsidRPr="003B3498">
        <w:rPr>
          <w:rFonts w:ascii="Times New Roman" w:eastAsia="Georgia" w:hAnsi="Times New Roman" w:cs="Times New Roman"/>
          <w:sz w:val="24"/>
          <w:szCs w:val="24"/>
        </w:rPr>
        <w:t>Von Frey hair stimulation intensities began at hair number one, 0.008 g, and rose in intensity up to hair number 20, 300 g</w:t>
      </w:r>
      <w:r w:rsidR="00C43FED" w:rsidRPr="003B3498">
        <w:rPr>
          <w:rFonts w:ascii="Times New Roman" w:eastAsia="Georgia" w:hAnsi="Times New Roman" w:cs="Times New Roman"/>
          <w:sz w:val="24"/>
          <w:szCs w:val="24"/>
        </w:rPr>
        <w:t>rams</w:t>
      </w:r>
      <w:r w:rsidR="006841CC" w:rsidRPr="003B3498">
        <w:rPr>
          <w:rFonts w:ascii="Times New Roman" w:eastAsia="Georgia" w:hAnsi="Times New Roman" w:cs="Times New Roman"/>
          <w:sz w:val="24"/>
          <w:szCs w:val="24"/>
        </w:rPr>
        <w:t xml:space="preserve"> as seen in figure 2. </w:t>
      </w:r>
      <w:r w:rsidR="57E8EB2B" w:rsidRPr="003B3498">
        <w:rPr>
          <w:rFonts w:ascii="Times New Roman" w:eastAsia="Georgia" w:hAnsi="Times New Roman" w:cs="Times New Roman"/>
          <w:sz w:val="24"/>
          <w:szCs w:val="24"/>
        </w:rPr>
        <w:t xml:space="preserve">Intensity was built until withdrawal reflex was responded for three stimulations of the same intensity. </w:t>
      </w:r>
      <w:r w:rsidR="168DD05D" w:rsidRPr="003B3498">
        <w:rPr>
          <w:rFonts w:ascii="Times New Roman" w:eastAsia="Georgia" w:hAnsi="Times New Roman" w:cs="Times New Roman"/>
          <w:sz w:val="24"/>
          <w:szCs w:val="24"/>
        </w:rPr>
        <w:t xml:space="preserve">If reflexes did not occur </w:t>
      </w:r>
      <w:r w:rsidR="47AAB239" w:rsidRPr="003B3498">
        <w:rPr>
          <w:rFonts w:ascii="Times New Roman" w:eastAsia="Georgia" w:hAnsi="Times New Roman" w:cs="Times New Roman"/>
          <w:sz w:val="24"/>
          <w:szCs w:val="24"/>
        </w:rPr>
        <w:t xml:space="preserve">with </w:t>
      </w:r>
      <w:r w:rsidR="168DD05D" w:rsidRPr="003B3498">
        <w:rPr>
          <w:rFonts w:ascii="Times New Roman" w:eastAsia="Georgia" w:hAnsi="Times New Roman" w:cs="Times New Roman"/>
          <w:sz w:val="24"/>
          <w:szCs w:val="24"/>
        </w:rPr>
        <w:t>all three stimulations, intensity of von Frey hair would increase. Once the threshold was found, a second trial repeated the procedures.</w:t>
      </w:r>
      <w:r w:rsidR="7A0DA580" w:rsidRPr="003B3498">
        <w:rPr>
          <w:rFonts w:ascii="Times New Roman" w:eastAsia="Georgia" w:hAnsi="Times New Roman" w:cs="Times New Roman"/>
          <w:sz w:val="24"/>
          <w:szCs w:val="24"/>
        </w:rPr>
        <w:t xml:space="preserve"> A Case Report Form was filled out by a </w:t>
      </w:r>
      <w:r w:rsidR="13D79AC0" w:rsidRPr="003B3498">
        <w:rPr>
          <w:rFonts w:ascii="Times New Roman" w:eastAsia="Georgia" w:hAnsi="Times New Roman" w:cs="Times New Roman"/>
          <w:sz w:val="24"/>
          <w:szCs w:val="24"/>
        </w:rPr>
        <w:t>Research Assistant present during the procedures to record type of response, which included no response, ankle, knee, or hip, sleep</w:t>
      </w:r>
      <w:r w:rsidR="32D02670" w:rsidRPr="003B3498">
        <w:rPr>
          <w:rFonts w:ascii="Times New Roman" w:eastAsia="Georgia" w:hAnsi="Times New Roman" w:cs="Times New Roman"/>
          <w:sz w:val="24"/>
          <w:szCs w:val="24"/>
        </w:rPr>
        <w:t xml:space="preserve"> state, and behavior during procedures.</w:t>
      </w:r>
      <w:r w:rsidR="08819AE6" w:rsidRPr="003B3498">
        <w:rPr>
          <w:rFonts w:ascii="Times New Roman" w:eastAsia="Georgia" w:hAnsi="Times New Roman" w:cs="Times New Roman"/>
          <w:sz w:val="24"/>
          <w:szCs w:val="24"/>
        </w:rPr>
        <w:t xml:space="preserve"> Procedures were also recorded by</w:t>
      </w:r>
      <w:r w:rsidR="7073D7BB" w:rsidRPr="003B3498">
        <w:rPr>
          <w:rFonts w:ascii="Times New Roman" w:eastAsia="Georgia" w:hAnsi="Times New Roman" w:cs="Times New Roman"/>
          <w:sz w:val="24"/>
          <w:szCs w:val="24"/>
        </w:rPr>
        <w:t xml:space="preserve"> an iPhone or a room camera for quality checks on recorded types of responses. </w:t>
      </w:r>
    </w:p>
    <w:tbl>
      <w:tblPr>
        <w:tblpPr w:leftFromText="180" w:rightFromText="180" w:vertAnchor="text" w:horzAnchor="margin" w:tblpY="522"/>
        <w:tblW w:w="5000" w:type="pct"/>
        <w:tblCellMar>
          <w:left w:w="0" w:type="dxa"/>
          <w:right w:w="0" w:type="dxa"/>
        </w:tblCellMar>
        <w:tblLook w:val="0600" w:firstRow="0" w:lastRow="0" w:firstColumn="0" w:lastColumn="0" w:noHBand="1" w:noVBand="1"/>
      </w:tblPr>
      <w:tblGrid>
        <w:gridCol w:w="3672"/>
        <w:gridCol w:w="5668"/>
      </w:tblGrid>
      <w:tr w:rsidR="007F5706" w:rsidRPr="00B03999" w14:paraId="2A1FFEF1"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06D1B7CE" w14:textId="157467FC" w:rsidR="00480130" w:rsidRPr="00B03999" w:rsidRDefault="007F5706" w:rsidP="00083DFD">
            <w:pPr>
              <w:spacing w:line="240" w:lineRule="auto"/>
              <w:rPr>
                <w:rFonts w:ascii="Times New Roman" w:hAnsi="Times New Roman" w:cs="Times New Roman"/>
                <w:b/>
                <w:bCs/>
              </w:rPr>
            </w:pPr>
            <w:r w:rsidRPr="00B03999">
              <w:rPr>
                <w:rFonts w:ascii="Times New Roman" w:hAnsi="Times New Roman" w:cs="Times New Roman"/>
                <w:b/>
                <w:bCs/>
              </w:rPr>
              <w:t>Hair number</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6851268"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b/>
                <w:bCs/>
              </w:rPr>
              <w:t>Force (grams)</w:t>
            </w:r>
          </w:p>
        </w:tc>
      </w:tr>
      <w:tr w:rsidR="007F5706" w:rsidRPr="00B03999" w14:paraId="4008921A"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28843141"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lastRenderedPageBreak/>
              <w:t>1</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2624BF3"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0.008</w:t>
            </w:r>
          </w:p>
        </w:tc>
      </w:tr>
      <w:tr w:rsidR="007F5706" w:rsidRPr="00B03999" w14:paraId="38664DA1"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23D9CDC8"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2</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5B83F6E"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0.02</w:t>
            </w:r>
          </w:p>
        </w:tc>
      </w:tr>
      <w:tr w:rsidR="007F5706" w:rsidRPr="00B03999" w14:paraId="3CA901DD"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47BCFE44"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3</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8735C4F"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0.04</w:t>
            </w:r>
          </w:p>
        </w:tc>
      </w:tr>
      <w:tr w:rsidR="007F5706" w:rsidRPr="00B03999" w14:paraId="0B65121D"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AB959D8"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4</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3B89625"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0.07</w:t>
            </w:r>
          </w:p>
        </w:tc>
      </w:tr>
      <w:tr w:rsidR="007F5706" w:rsidRPr="00B03999" w14:paraId="225DBABD"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F74A200"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5</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877AE11"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0.16</w:t>
            </w:r>
          </w:p>
        </w:tc>
      </w:tr>
      <w:tr w:rsidR="007F5706" w:rsidRPr="00B03999" w14:paraId="21AF44B5"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00D1A22E"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6</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05477710"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0.4</w:t>
            </w:r>
          </w:p>
        </w:tc>
      </w:tr>
      <w:tr w:rsidR="007F5706" w:rsidRPr="00B03999" w14:paraId="53C41488"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5BEB92F3"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7</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77161DB"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0.6</w:t>
            </w:r>
          </w:p>
        </w:tc>
      </w:tr>
      <w:tr w:rsidR="007F5706" w:rsidRPr="00B03999" w14:paraId="7136FD05"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2454768E"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8</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5754F48F"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w:t>
            </w:r>
          </w:p>
        </w:tc>
      </w:tr>
      <w:tr w:rsidR="007F5706" w:rsidRPr="00B03999" w14:paraId="3A83B52F"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6595984F"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9</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700F354"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1.4</w:t>
            </w:r>
          </w:p>
        </w:tc>
      </w:tr>
      <w:tr w:rsidR="007F5706" w:rsidRPr="00B03999" w14:paraId="665AD27F"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69CA937B"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10</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1B88B37F"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2</w:t>
            </w:r>
          </w:p>
        </w:tc>
      </w:tr>
      <w:tr w:rsidR="007F5706" w:rsidRPr="00B03999" w14:paraId="3C971BA7"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454A374A"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11</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4B37F3F7"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4</w:t>
            </w:r>
          </w:p>
        </w:tc>
      </w:tr>
      <w:tr w:rsidR="007F5706" w:rsidRPr="00B03999" w14:paraId="0D8FBA53"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0C0CB61B"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12</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5EB2D484"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6</w:t>
            </w:r>
          </w:p>
        </w:tc>
      </w:tr>
      <w:tr w:rsidR="007F5706" w:rsidRPr="00B03999" w14:paraId="0580E820"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5DEBCAFB"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13</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9D6EE4E"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8</w:t>
            </w:r>
          </w:p>
        </w:tc>
      </w:tr>
      <w:tr w:rsidR="007F5706" w:rsidRPr="00B03999" w14:paraId="583BD364"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D55D989"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14</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2187224E"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10</w:t>
            </w:r>
          </w:p>
        </w:tc>
      </w:tr>
      <w:tr w:rsidR="007F5706" w:rsidRPr="00B03999" w14:paraId="23ECAB10"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0A2980FE"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15</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54645B2"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15</w:t>
            </w:r>
          </w:p>
        </w:tc>
      </w:tr>
      <w:tr w:rsidR="007F5706" w:rsidRPr="00B03999" w14:paraId="2849BE0B"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496B3FC8"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16</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27AB3A0"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26</w:t>
            </w:r>
          </w:p>
        </w:tc>
      </w:tr>
      <w:tr w:rsidR="007F5706" w:rsidRPr="00B03999" w14:paraId="67338C28"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00C7953"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17</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69972A02"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60</w:t>
            </w:r>
          </w:p>
        </w:tc>
      </w:tr>
      <w:tr w:rsidR="007F5706" w:rsidRPr="00B03999" w14:paraId="1DFB5EC0"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3F94B6EB"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18</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473A2DC9"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100</w:t>
            </w:r>
          </w:p>
        </w:tc>
      </w:tr>
      <w:tr w:rsidR="007F5706" w:rsidRPr="00B03999" w14:paraId="43A397C6"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4F6EA059"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19</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620A63CD"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180</w:t>
            </w:r>
          </w:p>
        </w:tc>
      </w:tr>
      <w:tr w:rsidR="007F5706" w:rsidRPr="00B03999" w14:paraId="551DE172" w14:textId="77777777" w:rsidTr="00083DFD">
        <w:trPr>
          <w:trHeight w:val="20"/>
        </w:trPr>
        <w:tc>
          <w:tcPr>
            <w:tcW w:w="1966"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76025AC5"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20</w:t>
            </w:r>
          </w:p>
        </w:tc>
        <w:tc>
          <w:tcPr>
            <w:tcW w:w="3034" w:type="pct"/>
            <w:tcBorders>
              <w:top w:val="single" w:sz="8" w:space="0" w:color="AD84C6"/>
              <w:left w:val="single" w:sz="8" w:space="0" w:color="AD84C6"/>
              <w:bottom w:val="single" w:sz="8" w:space="0" w:color="AD84C6"/>
              <w:right w:val="single" w:sz="8" w:space="0" w:color="AD84C6"/>
            </w:tcBorders>
            <w:shd w:val="clear" w:color="auto" w:fill="F1EDF5"/>
            <w:tcMar>
              <w:top w:w="10" w:type="dxa"/>
              <w:left w:w="10" w:type="dxa"/>
              <w:bottom w:w="0" w:type="dxa"/>
              <w:right w:w="10" w:type="dxa"/>
            </w:tcMar>
            <w:vAlign w:val="bottom"/>
            <w:hideMark/>
          </w:tcPr>
          <w:p w14:paraId="53614195" w14:textId="77777777" w:rsidR="007F5706" w:rsidRPr="00B03999" w:rsidRDefault="007F5706" w:rsidP="00083DFD">
            <w:pPr>
              <w:spacing w:line="240" w:lineRule="auto"/>
              <w:rPr>
                <w:rFonts w:ascii="Times New Roman" w:hAnsi="Times New Roman" w:cs="Times New Roman"/>
              </w:rPr>
            </w:pPr>
            <w:r w:rsidRPr="00B03999">
              <w:rPr>
                <w:rFonts w:ascii="Times New Roman" w:hAnsi="Times New Roman" w:cs="Times New Roman"/>
              </w:rPr>
              <w:t>300</w:t>
            </w:r>
          </w:p>
        </w:tc>
      </w:tr>
    </w:tbl>
    <w:p w14:paraId="1BC481E3" w14:textId="4A5023BF" w:rsidR="007F5706" w:rsidRDefault="007F5706" w:rsidP="007F5706">
      <w:pPr>
        <w:spacing w:line="360" w:lineRule="auto"/>
        <w:ind w:firstLine="720"/>
        <w:rPr>
          <w:rFonts w:ascii="Times New Roman" w:eastAsia="Georgia" w:hAnsi="Times New Roman" w:cs="Times New Roman"/>
        </w:rPr>
      </w:pPr>
      <w:r w:rsidRPr="00EE4CB8">
        <w:rPr>
          <w:rFonts w:ascii="Times New Roman" w:eastAsia="Georgia" w:hAnsi="Times New Roman" w:cs="Times New Roman"/>
          <w:b/>
          <w:bCs/>
        </w:rPr>
        <w:t>Figure 2.</w:t>
      </w:r>
      <w:r>
        <w:rPr>
          <w:rFonts w:ascii="Times New Roman" w:eastAsia="Georgia" w:hAnsi="Times New Roman" w:cs="Times New Roman"/>
        </w:rPr>
        <w:t xml:space="preserve"> Conversion chart of force in grams to the stimulation von Frey hairs</w:t>
      </w:r>
    </w:p>
    <w:p w14:paraId="3E84E864" w14:textId="20EFC272" w:rsidR="7452551F" w:rsidRPr="00A97062" w:rsidRDefault="7452551F" w:rsidP="00552A3E">
      <w:pPr>
        <w:spacing w:line="240" w:lineRule="auto"/>
        <w:rPr>
          <w:rFonts w:ascii="Times New Roman" w:eastAsia="Georgia" w:hAnsi="Times New Roman" w:cs="Times New Roman"/>
        </w:rPr>
      </w:pPr>
    </w:p>
    <w:p w14:paraId="55AB4B58" w14:textId="4A2151E7" w:rsidR="116869B7" w:rsidRPr="003B3498" w:rsidRDefault="116869B7"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Responses </w:t>
      </w:r>
      <w:r w:rsidR="002B15BE" w:rsidRPr="003B3498">
        <w:rPr>
          <w:rFonts w:ascii="Times New Roman" w:eastAsia="Georgia" w:hAnsi="Times New Roman" w:cs="Times New Roman"/>
          <w:sz w:val="24"/>
          <w:szCs w:val="24"/>
        </w:rPr>
        <w:t>for</w:t>
      </w:r>
      <w:r w:rsidRPr="003B3498">
        <w:rPr>
          <w:rFonts w:ascii="Times New Roman" w:eastAsia="Georgia" w:hAnsi="Times New Roman" w:cs="Times New Roman"/>
          <w:sz w:val="24"/>
          <w:szCs w:val="24"/>
        </w:rPr>
        <w:t xml:space="preserve"> finding sensory thresholds a were assessed in-perso</w:t>
      </w:r>
      <w:r w:rsidR="772172B3" w:rsidRPr="003B3498">
        <w:rPr>
          <w:rFonts w:ascii="Times New Roman" w:eastAsia="Georgia" w:hAnsi="Times New Roman" w:cs="Times New Roman"/>
          <w:sz w:val="24"/>
          <w:szCs w:val="24"/>
        </w:rPr>
        <w:t xml:space="preserve">n. Reflexes were assessed by grouping them </w:t>
      </w:r>
      <w:r w:rsidR="2F5FC181" w:rsidRPr="003B3498">
        <w:rPr>
          <w:rFonts w:ascii="Times New Roman" w:eastAsia="Georgia" w:hAnsi="Times New Roman" w:cs="Times New Roman"/>
          <w:sz w:val="24"/>
          <w:szCs w:val="24"/>
        </w:rPr>
        <w:t>into four classifications which included having no response, having an ankle response, having a knee response, or having a hip response.</w:t>
      </w:r>
    </w:p>
    <w:p w14:paraId="7D614FD8" w14:textId="43EA61F6" w:rsidR="00C45414" w:rsidRPr="003B3498" w:rsidRDefault="00C45414"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Videos were taken of procedures using room cameras or iPhone </w:t>
      </w:r>
      <w:r w:rsidR="735996C2" w:rsidRPr="003B3498">
        <w:rPr>
          <w:rFonts w:ascii="Times New Roman" w:eastAsia="Georgia" w:hAnsi="Times New Roman" w:cs="Times New Roman"/>
          <w:sz w:val="24"/>
          <w:szCs w:val="24"/>
        </w:rPr>
        <w:t xml:space="preserve">cameras </w:t>
      </w:r>
      <w:r w:rsidRPr="003B3498">
        <w:rPr>
          <w:rFonts w:ascii="Times New Roman" w:eastAsia="Georgia" w:hAnsi="Times New Roman" w:cs="Times New Roman"/>
          <w:sz w:val="24"/>
          <w:szCs w:val="24"/>
        </w:rPr>
        <w:t xml:space="preserve">for quality reviews of responses taken in person. </w:t>
      </w:r>
      <w:r w:rsidR="35001346" w:rsidRPr="003B3498">
        <w:rPr>
          <w:rFonts w:ascii="Times New Roman" w:eastAsia="Georgia" w:hAnsi="Times New Roman" w:cs="Times New Roman"/>
          <w:sz w:val="24"/>
          <w:szCs w:val="24"/>
        </w:rPr>
        <w:t xml:space="preserve">Videos were reviewed and </w:t>
      </w:r>
      <w:r w:rsidR="4B3F0976" w:rsidRPr="003B3498">
        <w:rPr>
          <w:rFonts w:ascii="Times New Roman" w:eastAsia="Georgia" w:hAnsi="Times New Roman" w:cs="Times New Roman"/>
          <w:sz w:val="24"/>
          <w:szCs w:val="24"/>
        </w:rPr>
        <w:t>assessed for the four classifications</w:t>
      </w:r>
      <w:r w:rsidR="6B73091F" w:rsidRPr="003B3498">
        <w:rPr>
          <w:rFonts w:ascii="Times New Roman" w:eastAsia="Georgia" w:hAnsi="Times New Roman" w:cs="Times New Roman"/>
          <w:sz w:val="24"/>
          <w:szCs w:val="24"/>
        </w:rPr>
        <w:t xml:space="preserve"> of no response, ankle response, knee response, and hip response. New classifications were </w:t>
      </w:r>
      <w:r w:rsidR="4A8A365A" w:rsidRPr="003B3498">
        <w:rPr>
          <w:rFonts w:ascii="Times New Roman" w:eastAsia="Georgia" w:hAnsi="Times New Roman" w:cs="Times New Roman"/>
          <w:sz w:val="24"/>
          <w:szCs w:val="24"/>
        </w:rPr>
        <w:t>recorded,</w:t>
      </w:r>
      <w:r w:rsidR="6B73091F" w:rsidRPr="003B3498">
        <w:rPr>
          <w:rFonts w:ascii="Times New Roman" w:eastAsia="Georgia" w:hAnsi="Times New Roman" w:cs="Times New Roman"/>
          <w:sz w:val="24"/>
          <w:szCs w:val="24"/>
        </w:rPr>
        <w:t xml:space="preserve"> and </w:t>
      </w:r>
      <w:r w:rsidR="107B865C" w:rsidRPr="003B3498">
        <w:rPr>
          <w:rFonts w:ascii="Times New Roman" w:eastAsia="Georgia" w:hAnsi="Times New Roman" w:cs="Times New Roman"/>
          <w:sz w:val="24"/>
          <w:szCs w:val="24"/>
        </w:rPr>
        <w:t>a percentage</w:t>
      </w:r>
      <w:r w:rsidR="4EC689A6" w:rsidRPr="003B3498">
        <w:rPr>
          <w:rFonts w:ascii="Times New Roman" w:eastAsia="Georgia" w:hAnsi="Times New Roman" w:cs="Times New Roman"/>
          <w:sz w:val="24"/>
          <w:szCs w:val="24"/>
        </w:rPr>
        <w:t xml:space="preserve"> of videos were reviewed by a second rater to maintain interrater reliability.</w:t>
      </w:r>
    </w:p>
    <w:p w14:paraId="51A265EF" w14:textId="4F7DA315" w:rsidR="7804F089" w:rsidRPr="003B3498" w:rsidRDefault="7804F089"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For </w:t>
      </w:r>
      <w:r w:rsidR="4B7C21B9" w:rsidRPr="003B3498">
        <w:rPr>
          <w:rFonts w:ascii="Times New Roman" w:eastAsia="Georgia" w:hAnsi="Times New Roman" w:cs="Times New Roman"/>
          <w:sz w:val="24"/>
          <w:szCs w:val="24"/>
        </w:rPr>
        <w:t>singular stimulation to find sensory thresholds,</w:t>
      </w:r>
      <w:r w:rsidR="471CE959" w:rsidRPr="003B3498">
        <w:rPr>
          <w:rFonts w:ascii="Times New Roman" w:eastAsia="Georgia" w:hAnsi="Times New Roman" w:cs="Times New Roman"/>
          <w:sz w:val="24"/>
          <w:szCs w:val="24"/>
        </w:rPr>
        <w:t xml:space="preserve"> d</w:t>
      </w:r>
      <w:r w:rsidR="4B7C21B9" w:rsidRPr="003B3498">
        <w:rPr>
          <w:rFonts w:ascii="Times New Roman" w:eastAsia="Georgia" w:hAnsi="Times New Roman" w:cs="Times New Roman"/>
          <w:sz w:val="24"/>
          <w:szCs w:val="24"/>
        </w:rPr>
        <w:t xml:space="preserve">escriptive statistics were generated for </w:t>
      </w:r>
      <w:r w:rsidR="57A8DA99" w:rsidRPr="003B3498">
        <w:rPr>
          <w:rFonts w:ascii="Times New Roman" w:eastAsia="Georgia" w:hAnsi="Times New Roman" w:cs="Times New Roman"/>
          <w:sz w:val="24"/>
          <w:szCs w:val="24"/>
        </w:rPr>
        <w:t xml:space="preserve">sex, sleep state, hospitalization, and NICU experience. The means of these groups were used </w:t>
      </w:r>
      <w:r w:rsidR="57A8DA99" w:rsidRPr="003B3498">
        <w:rPr>
          <w:rFonts w:ascii="Times New Roman" w:eastAsia="Georgia" w:hAnsi="Times New Roman" w:cs="Times New Roman"/>
          <w:sz w:val="24"/>
          <w:szCs w:val="24"/>
        </w:rPr>
        <w:lastRenderedPageBreak/>
        <w:t xml:space="preserve">and separated into age groups which </w:t>
      </w:r>
      <w:r w:rsidR="4D837FBD" w:rsidRPr="003B3498">
        <w:rPr>
          <w:rFonts w:ascii="Times New Roman" w:eastAsia="Georgia" w:hAnsi="Times New Roman" w:cs="Times New Roman"/>
          <w:sz w:val="24"/>
          <w:szCs w:val="24"/>
        </w:rPr>
        <w:t xml:space="preserve">were </w:t>
      </w:r>
      <w:r w:rsidR="57A8DA99" w:rsidRPr="003B3498">
        <w:rPr>
          <w:rFonts w:ascii="Times New Roman" w:eastAsia="Georgia" w:hAnsi="Times New Roman" w:cs="Times New Roman"/>
          <w:sz w:val="24"/>
          <w:szCs w:val="24"/>
        </w:rPr>
        <w:t>2 months, 4 months, and 10 months.</w:t>
      </w:r>
      <w:r w:rsidR="02A4B79C" w:rsidRPr="003B3498">
        <w:rPr>
          <w:rFonts w:ascii="Times New Roman" w:eastAsia="Georgia" w:hAnsi="Times New Roman" w:cs="Times New Roman"/>
          <w:sz w:val="24"/>
          <w:szCs w:val="24"/>
        </w:rPr>
        <w:t xml:space="preserve"> From here, means were compared using t-tests to view difference in each grouping in the age groups.</w:t>
      </w:r>
    </w:p>
    <w:p w14:paraId="3F774B1C" w14:textId="7EA8F38D" w:rsidR="00424755" w:rsidRPr="00E36758" w:rsidRDefault="5F2D0C04" w:rsidP="002B15BE">
      <w:pPr>
        <w:spacing w:line="360" w:lineRule="auto"/>
        <w:rPr>
          <w:rFonts w:ascii="Times New Roman" w:hAnsi="Times New Roman" w:cs="Times New Roman"/>
          <w:sz w:val="32"/>
          <w:szCs w:val="32"/>
        </w:rPr>
      </w:pPr>
      <w:r w:rsidRPr="00E36758">
        <w:rPr>
          <w:rFonts w:ascii="Times New Roman" w:hAnsi="Times New Roman" w:cs="Times New Roman"/>
          <w:b/>
          <w:bCs/>
          <w:sz w:val="32"/>
          <w:szCs w:val="32"/>
        </w:rPr>
        <w:t>Result</w:t>
      </w:r>
      <w:r w:rsidR="002B15BE" w:rsidRPr="00E36758">
        <w:rPr>
          <w:rFonts w:ascii="Times New Roman" w:hAnsi="Times New Roman" w:cs="Times New Roman"/>
          <w:b/>
          <w:bCs/>
          <w:sz w:val="32"/>
          <w:szCs w:val="32"/>
        </w:rPr>
        <w:t>s</w:t>
      </w:r>
      <w:r w:rsidR="0FFCDAD8" w:rsidRPr="00E36758">
        <w:rPr>
          <w:rFonts w:ascii="Times New Roman" w:hAnsi="Times New Roman" w:cs="Times New Roman"/>
          <w:sz w:val="32"/>
          <w:szCs w:val="32"/>
        </w:rPr>
        <w:t xml:space="preserve"> </w:t>
      </w:r>
    </w:p>
    <w:p w14:paraId="20EF562F" w14:textId="1010B574" w:rsidR="00AE446F" w:rsidRPr="003B3498" w:rsidRDefault="003C1CDA" w:rsidP="00552A3E">
      <w:pPr>
        <w:spacing w:line="240" w:lineRule="auto"/>
        <w:ind w:firstLine="720"/>
        <w:rPr>
          <w:noProof/>
          <w:sz w:val="24"/>
          <w:szCs w:val="24"/>
        </w:rPr>
      </w:pPr>
      <w:r w:rsidRPr="003B3498">
        <w:rPr>
          <w:rFonts w:ascii="Times New Roman" w:hAnsi="Times New Roman" w:cs="Times New Roman"/>
          <w:sz w:val="24"/>
          <w:szCs w:val="24"/>
        </w:rPr>
        <w:t>The development of sensory thresholds was expected to increase in a hill pattern</w:t>
      </w:r>
      <w:r w:rsidR="00BE185F" w:rsidRPr="003B3498">
        <w:rPr>
          <w:rFonts w:ascii="Times New Roman" w:hAnsi="Times New Roman" w:cs="Times New Roman"/>
          <w:sz w:val="24"/>
          <w:szCs w:val="24"/>
        </w:rPr>
        <w:t xml:space="preserve"> where children were less sensitized </w:t>
      </w:r>
      <w:r w:rsidR="00C16AC1" w:rsidRPr="003B3498">
        <w:rPr>
          <w:rFonts w:ascii="Times New Roman" w:hAnsi="Times New Roman" w:cs="Times New Roman"/>
          <w:sz w:val="24"/>
          <w:szCs w:val="24"/>
        </w:rPr>
        <w:t>through age. As shown in figure</w:t>
      </w:r>
      <w:r w:rsidR="00424755" w:rsidRPr="003B3498">
        <w:rPr>
          <w:rFonts w:ascii="Times New Roman" w:hAnsi="Times New Roman" w:cs="Times New Roman"/>
          <w:sz w:val="24"/>
          <w:szCs w:val="24"/>
        </w:rPr>
        <w:t xml:space="preserve"> 2</w:t>
      </w:r>
      <w:r w:rsidR="00C16AC1" w:rsidRPr="003B3498">
        <w:rPr>
          <w:rFonts w:ascii="Times New Roman" w:hAnsi="Times New Roman" w:cs="Times New Roman"/>
          <w:sz w:val="24"/>
          <w:szCs w:val="24"/>
        </w:rPr>
        <w:t>, sensory thresholds increase</w:t>
      </w:r>
      <w:r w:rsidR="00424755" w:rsidRPr="003B3498">
        <w:rPr>
          <w:rFonts w:ascii="Times New Roman" w:hAnsi="Times New Roman" w:cs="Times New Roman"/>
          <w:sz w:val="24"/>
          <w:szCs w:val="24"/>
        </w:rPr>
        <w:t>d through 2 to 4 months however slightly decreased between the 4- and 10-month age gap. The 10-month age gap was supposed to head upwards as does the gap between 2 and 4 months of age, however this could be explained by the small sample size for the 10-month visit.</w:t>
      </w:r>
      <w:r w:rsidR="00AE446F" w:rsidRPr="003B3498">
        <w:rPr>
          <w:noProof/>
          <w:sz w:val="24"/>
          <w:szCs w:val="24"/>
        </w:rPr>
        <w:t xml:space="preserve"> </w:t>
      </w:r>
    </w:p>
    <w:p w14:paraId="2B058052" w14:textId="6C0DD304" w:rsidR="0083171E" w:rsidRDefault="009C2495" w:rsidP="00AE446F">
      <w:pPr>
        <w:spacing w:line="360" w:lineRule="auto"/>
        <w:rPr>
          <w:rFonts w:ascii="Times New Roman" w:hAnsi="Times New Roman" w:cs="Times New Roman"/>
        </w:rPr>
      </w:pPr>
      <w:r w:rsidRPr="00EE4CB8">
        <w:rPr>
          <w:b/>
          <w:bCs/>
          <w:noProof/>
        </w:rPr>
        <w:drawing>
          <wp:anchor distT="0" distB="0" distL="114300" distR="114300" simplePos="0" relativeHeight="251658240" behindDoc="1" locked="0" layoutInCell="1" allowOverlap="1" wp14:anchorId="152E9DE8" wp14:editId="24B2D7ED">
            <wp:simplePos x="0" y="0"/>
            <wp:positionH relativeFrom="margin">
              <wp:posOffset>-112939</wp:posOffset>
            </wp:positionH>
            <wp:positionV relativeFrom="paragraph">
              <wp:posOffset>288381</wp:posOffset>
            </wp:positionV>
            <wp:extent cx="5935345" cy="3322411"/>
            <wp:effectExtent l="0" t="0" r="8255" b="11430"/>
            <wp:wrapTight wrapText="bothSides">
              <wp:wrapPolygon edited="0">
                <wp:start x="0" y="0"/>
                <wp:lineTo x="0" y="21550"/>
                <wp:lineTo x="21561" y="21550"/>
                <wp:lineTo x="21561" y="0"/>
                <wp:lineTo x="0" y="0"/>
              </wp:wrapPolygon>
            </wp:wrapTight>
            <wp:docPr id="1" name="Chart 1">
              <a:extLst xmlns:a="http://schemas.openxmlformats.org/drawingml/2006/main">
                <a:ext uri="{FF2B5EF4-FFF2-40B4-BE49-F238E27FC236}">
                  <a16:creationId xmlns:a16="http://schemas.microsoft.com/office/drawing/2014/main" id="{72E52D5D-1A15-406C-8566-24E61AF1D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E446F" w:rsidRPr="00EE4CB8">
        <w:rPr>
          <w:rFonts w:ascii="Times New Roman" w:hAnsi="Times New Roman" w:cs="Times New Roman"/>
          <w:b/>
          <w:bCs/>
        </w:rPr>
        <w:t xml:space="preserve">Figure </w:t>
      </w:r>
      <w:r w:rsidR="0083171E" w:rsidRPr="00EE4CB8">
        <w:rPr>
          <w:rFonts w:ascii="Times New Roman" w:hAnsi="Times New Roman" w:cs="Times New Roman"/>
          <w:b/>
          <w:bCs/>
        </w:rPr>
        <w:t>3</w:t>
      </w:r>
      <w:r w:rsidR="00AE446F" w:rsidRPr="00EE4CB8">
        <w:rPr>
          <w:rFonts w:ascii="Times New Roman" w:hAnsi="Times New Roman" w:cs="Times New Roman"/>
          <w:b/>
          <w:bCs/>
        </w:rPr>
        <w:t>.</w:t>
      </w:r>
      <w:r w:rsidR="00AE446F">
        <w:rPr>
          <w:rFonts w:ascii="Times New Roman" w:hAnsi="Times New Roman" w:cs="Times New Roman"/>
        </w:rPr>
        <w:t xml:space="preserve"> Sensory threshold development trend over age of infants at </w:t>
      </w:r>
      <w:r w:rsidR="0083171E">
        <w:rPr>
          <w:rFonts w:ascii="Times New Roman" w:hAnsi="Times New Roman" w:cs="Times New Roman"/>
        </w:rPr>
        <w:t>specific study visit ages</w:t>
      </w:r>
    </w:p>
    <w:p w14:paraId="7294F695" w14:textId="38FD2398" w:rsidR="00EE5353" w:rsidRPr="003B3498" w:rsidRDefault="000B5A22" w:rsidP="00552A3E">
      <w:pPr>
        <w:spacing w:line="240" w:lineRule="auto"/>
        <w:ind w:firstLine="720"/>
        <w:rPr>
          <w:rFonts w:ascii="Times New Roman" w:hAnsi="Times New Roman" w:cs="Times New Roman"/>
          <w:sz w:val="24"/>
          <w:szCs w:val="24"/>
        </w:rPr>
      </w:pPr>
      <w:r w:rsidRPr="003B3498">
        <w:rPr>
          <w:rFonts w:ascii="Times New Roman" w:hAnsi="Times New Roman" w:cs="Times New Roman"/>
          <w:sz w:val="24"/>
          <w:szCs w:val="24"/>
        </w:rPr>
        <w:t>Regarding</w:t>
      </w:r>
      <w:r w:rsidR="00C4463C" w:rsidRPr="003B3498">
        <w:rPr>
          <w:rFonts w:ascii="Times New Roman" w:hAnsi="Times New Roman" w:cs="Times New Roman"/>
          <w:sz w:val="24"/>
          <w:szCs w:val="24"/>
        </w:rPr>
        <w:t xml:space="preserve"> the categorization of the flexion reflex responses, </w:t>
      </w:r>
      <w:r w:rsidR="00916199" w:rsidRPr="003B3498">
        <w:rPr>
          <w:rFonts w:ascii="Times New Roman" w:hAnsi="Times New Roman" w:cs="Times New Roman"/>
          <w:sz w:val="24"/>
          <w:szCs w:val="24"/>
        </w:rPr>
        <w:t xml:space="preserve">most of the reflex </w:t>
      </w:r>
      <w:r w:rsidR="00CF2A7D" w:rsidRPr="003B3498">
        <w:rPr>
          <w:rFonts w:ascii="Times New Roman" w:hAnsi="Times New Roman" w:cs="Times New Roman"/>
          <w:sz w:val="24"/>
          <w:szCs w:val="24"/>
        </w:rPr>
        <w:t>responses</w:t>
      </w:r>
      <w:r w:rsidR="00916199" w:rsidRPr="003B3498">
        <w:rPr>
          <w:rFonts w:ascii="Times New Roman" w:hAnsi="Times New Roman" w:cs="Times New Roman"/>
          <w:sz w:val="24"/>
          <w:szCs w:val="24"/>
        </w:rPr>
        <w:t xml:space="preserve"> </w:t>
      </w:r>
      <w:r w:rsidR="00CF2A7D" w:rsidRPr="003B3498">
        <w:rPr>
          <w:rFonts w:ascii="Times New Roman" w:hAnsi="Times New Roman" w:cs="Times New Roman"/>
          <w:sz w:val="24"/>
          <w:szCs w:val="24"/>
        </w:rPr>
        <w:t xml:space="preserve">were examined at hair number 9 which is </w:t>
      </w:r>
      <w:r w:rsidRPr="003B3498">
        <w:rPr>
          <w:rFonts w:ascii="Times New Roman" w:hAnsi="Times New Roman" w:cs="Times New Roman"/>
          <w:sz w:val="24"/>
          <w:szCs w:val="24"/>
        </w:rPr>
        <w:t xml:space="preserve">1.4 grams of force. </w:t>
      </w:r>
      <w:r w:rsidR="00D66A18" w:rsidRPr="003B3498">
        <w:rPr>
          <w:rFonts w:ascii="Times New Roman" w:hAnsi="Times New Roman" w:cs="Times New Roman"/>
          <w:sz w:val="24"/>
          <w:szCs w:val="24"/>
        </w:rPr>
        <w:t xml:space="preserve">Throughout age, </w:t>
      </w:r>
      <w:r w:rsidR="002A40CC" w:rsidRPr="003B3498">
        <w:rPr>
          <w:rFonts w:ascii="Times New Roman" w:hAnsi="Times New Roman" w:cs="Times New Roman"/>
          <w:sz w:val="24"/>
          <w:szCs w:val="24"/>
        </w:rPr>
        <w:t xml:space="preserve">the type of flexion response changed from being a </w:t>
      </w:r>
      <w:r w:rsidR="00086D88" w:rsidRPr="003B3498">
        <w:rPr>
          <w:rFonts w:ascii="Times New Roman" w:hAnsi="Times New Roman" w:cs="Times New Roman"/>
          <w:sz w:val="24"/>
          <w:szCs w:val="24"/>
        </w:rPr>
        <w:t>strong hip flexion response</w:t>
      </w:r>
      <w:r w:rsidR="002A40CC" w:rsidRPr="003B3498">
        <w:rPr>
          <w:rFonts w:ascii="Times New Roman" w:hAnsi="Times New Roman" w:cs="Times New Roman"/>
          <w:sz w:val="24"/>
          <w:szCs w:val="24"/>
        </w:rPr>
        <w:t xml:space="preserve"> at the </w:t>
      </w:r>
      <w:r w:rsidR="000341D4" w:rsidRPr="003B3498">
        <w:rPr>
          <w:rFonts w:ascii="Times New Roman" w:hAnsi="Times New Roman" w:cs="Times New Roman"/>
          <w:sz w:val="24"/>
          <w:szCs w:val="24"/>
        </w:rPr>
        <w:t xml:space="preserve">2- month </w:t>
      </w:r>
      <w:r w:rsidR="002A40CC" w:rsidRPr="003B3498">
        <w:rPr>
          <w:rFonts w:ascii="Times New Roman" w:hAnsi="Times New Roman" w:cs="Times New Roman"/>
          <w:sz w:val="24"/>
          <w:szCs w:val="24"/>
        </w:rPr>
        <w:t xml:space="preserve">visit to more ankle and </w:t>
      </w:r>
      <w:r w:rsidR="00461ACD" w:rsidRPr="003B3498">
        <w:rPr>
          <w:rFonts w:ascii="Times New Roman" w:hAnsi="Times New Roman" w:cs="Times New Roman"/>
          <w:sz w:val="24"/>
          <w:szCs w:val="24"/>
        </w:rPr>
        <w:t>knee responses coming from the 4 and 10 month visit infants</w:t>
      </w:r>
      <w:r w:rsidR="000341D4" w:rsidRPr="003B3498">
        <w:rPr>
          <w:rFonts w:ascii="Times New Roman" w:hAnsi="Times New Roman" w:cs="Times New Roman"/>
          <w:sz w:val="24"/>
          <w:szCs w:val="24"/>
        </w:rPr>
        <w:t>, however these changes were not considered significant.</w:t>
      </w:r>
    </w:p>
    <w:p w14:paraId="02CD21F0" w14:textId="6E2E0461" w:rsidR="002E0147" w:rsidRPr="003B3498" w:rsidRDefault="002E0147" w:rsidP="00552A3E">
      <w:pPr>
        <w:spacing w:line="240" w:lineRule="auto"/>
        <w:ind w:firstLine="720"/>
        <w:rPr>
          <w:rFonts w:ascii="Times New Roman" w:hAnsi="Times New Roman" w:cs="Times New Roman"/>
          <w:noProof/>
          <w:sz w:val="24"/>
          <w:szCs w:val="24"/>
        </w:rPr>
      </w:pPr>
      <w:r w:rsidRPr="003B3498">
        <w:rPr>
          <w:noProof/>
          <w:sz w:val="24"/>
          <w:szCs w:val="24"/>
        </w:rPr>
        <w:t xml:space="preserve"> </w:t>
      </w:r>
      <w:r w:rsidR="00EE5353" w:rsidRPr="003B3498">
        <w:rPr>
          <w:rFonts w:ascii="Times New Roman" w:hAnsi="Times New Roman" w:cs="Times New Roman"/>
          <w:noProof/>
          <w:sz w:val="24"/>
          <w:szCs w:val="24"/>
        </w:rPr>
        <w:t>There was no significant difference between sex, sleep state, and NICU experience between the children. There were no significant differences between the types of responses in each category.</w:t>
      </w:r>
      <w:r w:rsidR="00C43FED" w:rsidRPr="003B3498">
        <w:rPr>
          <w:rFonts w:ascii="Times New Roman" w:hAnsi="Times New Roman" w:cs="Times New Roman"/>
          <w:noProof/>
          <w:sz w:val="24"/>
          <w:szCs w:val="24"/>
        </w:rPr>
        <w:t xml:space="preserve"> </w:t>
      </w:r>
      <w:r w:rsidR="00A76D7B" w:rsidRPr="003B3498">
        <w:rPr>
          <w:rFonts w:ascii="Times New Roman" w:hAnsi="Times New Roman" w:cs="Times New Roman"/>
          <w:noProof/>
          <w:sz w:val="24"/>
          <w:szCs w:val="24"/>
        </w:rPr>
        <w:t>The avergae threshold between ages in each category had no significant difference being that it maintained in the same patterns and remained no more than 2 or 3 hair number</w:t>
      </w:r>
      <w:r w:rsidR="00F05D37" w:rsidRPr="003B3498">
        <w:rPr>
          <w:rFonts w:ascii="Times New Roman" w:hAnsi="Times New Roman" w:cs="Times New Roman"/>
          <w:noProof/>
          <w:sz w:val="24"/>
          <w:szCs w:val="24"/>
        </w:rPr>
        <w:t xml:space="preserve"> differences.</w:t>
      </w:r>
    </w:p>
    <w:p w14:paraId="5ECD8A72" w14:textId="638DF852" w:rsidR="00AA450E" w:rsidRDefault="00AA450E" w:rsidP="00AA450E">
      <w:pPr>
        <w:spacing w:line="360" w:lineRule="auto"/>
        <w:ind w:firstLine="720"/>
        <w:rPr>
          <w:rFonts w:ascii="Times New Roman" w:hAnsi="Times New Roman" w:cs="Times New Roman"/>
          <w:noProof/>
        </w:rPr>
      </w:pPr>
      <w:r w:rsidRPr="00EE4CB8">
        <w:rPr>
          <w:b/>
          <w:bCs/>
          <w:noProof/>
        </w:rPr>
        <w:lastRenderedPageBreak/>
        <w:drawing>
          <wp:anchor distT="0" distB="0" distL="114300" distR="114300" simplePos="0" relativeHeight="251659264" behindDoc="0" locked="0" layoutInCell="1" allowOverlap="1" wp14:anchorId="2ED1BA67" wp14:editId="7042EF56">
            <wp:simplePos x="0" y="0"/>
            <wp:positionH relativeFrom="margin">
              <wp:align>right</wp:align>
            </wp:positionH>
            <wp:positionV relativeFrom="paragraph">
              <wp:posOffset>431800</wp:posOffset>
            </wp:positionV>
            <wp:extent cx="5943600" cy="4092575"/>
            <wp:effectExtent l="0" t="0" r="0" b="3175"/>
            <wp:wrapSquare wrapText="bothSides"/>
            <wp:docPr id="4" name="Chart 4">
              <a:extLst xmlns:a="http://schemas.openxmlformats.org/drawingml/2006/main">
                <a:ext uri="{FF2B5EF4-FFF2-40B4-BE49-F238E27FC236}">
                  <a16:creationId xmlns:a16="http://schemas.microsoft.com/office/drawing/2014/main" id="{27210192-7FE0-44D4-B7AE-086C759E9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083DFD" w:rsidRPr="00EE4CB8">
        <w:rPr>
          <w:rFonts w:ascii="Times New Roman" w:hAnsi="Times New Roman" w:cs="Times New Roman"/>
          <w:b/>
          <w:bCs/>
          <w:noProof/>
        </w:rPr>
        <w:t>Figure 4.</w:t>
      </w:r>
      <w:r w:rsidR="00083DFD">
        <w:rPr>
          <w:rFonts w:ascii="Times New Roman" w:hAnsi="Times New Roman" w:cs="Times New Roman"/>
          <w:noProof/>
        </w:rPr>
        <w:t xml:space="preserve"> </w:t>
      </w:r>
      <w:r>
        <w:rPr>
          <w:rFonts w:ascii="Times New Roman" w:hAnsi="Times New Roman" w:cs="Times New Roman"/>
          <w:noProof/>
        </w:rPr>
        <w:t>Comparison of sensory thresholds to group of ages regarding sex</w:t>
      </w:r>
    </w:p>
    <w:p w14:paraId="6B033C0E" w14:textId="77777777" w:rsidR="00AA450E" w:rsidRDefault="00AA450E" w:rsidP="00AA450E">
      <w:pPr>
        <w:spacing w:line="360" w:lineRule="auto"/>
        <w:ind w:firstLine="720"/>
        <w:rPr>
          <w:rFonts w:ascii="Times New Roman" w:hAnsi="Times New Roman" w:cs="Times New Roman"/>
          <w:noProof/>
        </w:rPr>
      </w:pPr>
    </w:p>
    <w:p w14:paraId="59A47F1D" w14:textId="77777777" w:rsidR="00AA450E" w:rsidRDefault="00AA450E" w:rsidP="00AA450E">
      <w:pPr>
        <w:spacing w:line="360" w:lineRule="auto"/>
        <w:ind w:firstLine="720"/>
        <w:rPr>
          <w:rFonts w:ascii="Times New Roman" w:hAnsi="Times New Roman" w:cs="Times New Roman"/>
          <w:noProof/>
        </w:rPr>
      </w:pPr>
    </w:p>
    <w:p w14:paraId="1631ED33" w14:textId="77777777" w:rsidR="00AA450E" w:rsidRDefault="00AA450E" w:rsidP="00AA450E">
      <w:pPr>
        <w:spacing w:line="360" w:lineRule="auto"/>
        <w:ind w:firstLine="720"/>
        <w:rPr>
          <w:rFonts w:ascii="Times New Roman" w:hAnsi="Times New Roman" w:cs="Times New Roman"/>
          <w:noProof/>
        </w:rPr>
      </w:pPr>
    </w:p>
    <w:p w14:paraId="1564A5BE" w14:textId="77777777" w:rsidR="00AA450E" w:rsidRDefault="00AA450E" w:rsidP="00AA450E">
      <w:pPr>
        <w:spacing w:line="360" w:lineRule="auto"/>
        <w:ind w:firstLine="720"/>
        <w:rPr>
          <w:rFonts w:ascii="Times New Roman" w:hAnsi="Times New Roman" w:cs="Times New Roman"/>
          <w:noProof/>
        </w:rPr>
      </w:pPr>
    </w:p>
    <w:p w14:paraId="4A6809B0" w14:textId="77777777" w:rsidR="00AA450E" w:rsidRDefault="00AA450E" w:rsidP="00AA450E">
      <w:pPr>
        <w:spacing w:line="360" w:lineRule="auto"/>
        <w:ind w:firstLine="720"/>
        <w:rPr>
          <w:rFonts w:ascii="Times New Roman" w:hAnsi="Times New Roman" w:cs="Times New Roman"/>
          <w:noProof/>
        </w:rPr>
      </w:pPr>
    </w:p>
    <w:p w14:paraId="3E9B8E4A" w14:textId="4A8C45AB" w:rsidR="00AA450E" w:rsidRDefault="00AA450E" w:rsidP="00AA450E">
      <w:pPr>
        <w:spacing w:line="360" w:lineRule="auto"/>
        <w:ind w:firstLine="720"/>
        <w:rPr>
          <w:rFonts w:ascii="Times New Roman" w:hAnsi="Times New Roman" w:cs="Times New Roman"/>
          <w:noProof/>
        </w:rPr>
      </w:pPr>
    </w:p>
    <w:p w14:paraId="4FA65A8F" w14:textId="4CAB3C8A" w:rsidR="00AA450E" w:rsidRDefault="00F05D37" w:rsidP="00F05D37">
      <w:pPr>
        <w:spacing w:line="360" w:lineRule="auto"/>
        <w:ind w:firstLine="720"/>
        <w:rPr>
          <w:rFonts w:ascii="Times New Roman" w:hAnsi="Times New Roman" w:cs="Times New Roman"/>
          <w:noProof/>
        </w:rPr>
      </w:pPr>
      <w:r w:rsidRPr="00EE4CB8">
        <w:rPr>
          <w:b/>
          <w:bCs/>
          <w:noProof/>
        </w:rPr>
        <w:lastRenderedPageBreak/>
        <w:drawing>
          <wp:anchor distT="0" distB="0" distL="114300" distR="114300" simplePos="0" relativeHeight="251660288" behindDoc="1" locked="0" layoutInCell="1" allowOverlap="1" wp14:anchorId="58358E20" wp14:editId="7F9E6053">
            <wp:simplePos x="0" y="0"/>
            <wp:positionH relativeFrom="margin">
              <wp:align>left</wp:align>
            </wp:positionH>
            <wp:positionV relativeFrom="paragraph">
              <wp:posOffset>208565</wp:posOffset>
            </wp:positionV>
            <wp:extent cx="5756910" cy="3601085"/>
            <wp:effectExtent l="0" t="0" r="15240" b="18415"/>
            <wp:wrapTight wrapText="bothSides">
              <wp:wrapPolygon edited="0">
                <wp:start x="0" y="0"/>
                <wp:lineTo x="0" y="21596"/>
                <wp:lineTo x="21586" y="21596"/>
                <wp:lineTo x="21586" y="0"/>
                <wp:lineTo x="0" y="0"/>
              </wp:wrapPolygon>
            </wp:wrapTight>
            <wp:docPr id="6" name="Chart 6">
              <a:extLst xmlns:a="http://schemas.openxmlformats.org/drawingml/2006/main">
                <a:ext uri="{FF2B5EF4-FFF2-40B4-BE49-F238E27FC236}">
                  <a16:creationId xmlns:a16="http://schemas.microsoft.com/office/drawing/2014/main" id="{A27DA55A-F66C-4E9E-AF1A-1E162F42D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AA450E" w:rsidRPr="00EE4CB8">
        <w:rPr>
          <w:rFonts w:ascii="Times New Roman" w:hAnsi="Times New Roman" w:cs="Times New Roman"/>
          <w:b/>
          <w:bCs/>
          <w:noProof/>
        </w:rPr>
        <w:t>Figure 5.</w:t>
      </w:r>
      <w:r w:rsidR="00AA450E">
        <w:rPr>
          <w:rFonts w:ascii="Times New Roman" w:hAnsi="Times New Roman" w:cs="Times New Roman"/>
          <w:noProof/>
        </w:rPr>
        <w:t xml:space="preserve"> Comparison of sensory thresholds to group of ages regarding sleep state</w:t>
      </w:r>
    </w:p>
    <w:p w14:paraId="54365176" w14:textId="77777777" w:rsidR="00F05D37" w:rsidRDefault="00F05D37" w:rsidP="00F05D37">
      <w:pPr>
        <w:spacing w:line="360" w:lineRule="auto"/>
        <w:ind w:firstLine="720"/>
        <w:rPr>
          <w:rFonts w:ascii="Times New Roman" w:hAnsi="Times New Roman" w:cs="Times New Roman"/>
          <w:noProof/>
        </w:rPr>
      </w:pPr>
    </w:p>
    <w:p w14:paraId="17DE61B2" w14:textId="4F30A570" w:rsidR="000341D4" w:rsidRDefault="00F05D37" w:rsidP="00AA450E">
      <w:pPr>
        <w:spacing w:line="360" w:lineRule="auto"/>
        <w:ind w:firstLine="720"/>
        <w:rPr>
          <w:rFonts w:ascii="Times New Roman" w:hAnsi="Times New Roman" w:cs="Times New Roman"/>
          <w:noProof/>
        </w:rPr>
      </w:pPr>
      <w:r w:rsidRPr="00EE4CB8">
        <w:rPr>
          <w:b/>
          <w:bCs/>
          <w:noProof/>
        </w:rPr>
        <w:drawing>
          <wp:anchor distT="0" distB="0" distL="114300" distR="114300" simplePos="0" relativeHeight="251661312" behindDoc="1" locked="0" layoutInCell="1" allowOverlap="1" wp14:anchorId="2D855AAD" wp14:editId="796298BC">
            <wp:simplePos x="0" y="0"/>
            <wp:positionH relativeFrom="margin">
              <wp:align>right</wp:align>
            </wp:positionH>
            <wp:positionV relativeFrom="paragraph">
              <wp:posOffset>197861</wp:posOffset>
            </wp:positionV>
            <wp:extent cx="5943600" cy="3458845"/>
            <wp:effectExtent l="0" t="0" r="0" b="8255"/>
            <wp:wrapTight wrapText="bothSides">
              <wp:wrapPolygon edited="0">
                <wp:start x="0" y="0"/>
                <wp:lineTo x="0" y="21533"/>
                <wp:lineTo x="21531" y="21533"/>
                <wp:lineTo x="21531" y="0"/>
                <wp:lineTo x="0" y="0"/>
              </wp:wrapPolygon>
            </wp:wrapTight>
            <wp:docPr id="8" name="Chart 8">
              <a:extLst xmlns:a="http://schemas.openxmlformats.org/drawingml/2006/main">
                <a:ext uri="{FF2B5EF4-FFF2-40B4-BE49-F238E27FC236}">
                  <a16:creationId xmlns:a16="http://schemas.microsoft.com/office/drawing/2014/main" id="{89F10F9D-6370-454A-B8B5-BBEEFC249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AA450E" w:rsidRPr="00EE4CB8">
        <w:rPr>
          <w:rFonts w:ascii="Times New Roman" w:hAnsi="Times New Roman" w:cs="Times New Roman"/>
          <w:b/>
          <w:bCs/>
          <w:noProof/>
        </w:rPr>
        <w:t>Figure 6.</w:t>
      </w:r>
      <w:r w:rsidR="00AA450E">
        <w:rPr>
          <w:rFonts w:ascii="Times New Roman" w:hAnsi="Times New Roman" w:cs="Times New Roman"/>
          <w:noProof/>
        </w:rPr>
        <w:t xml:space="preserve"> Comparison of sensory thresholds to group of ages regarding NICU experience</w:t>
      </w:r>
    </w:p>
    <w:p w14:paraId="5D83C87E" w14:textId="5236055B" w:rsidR="00AA450E" w:rsidRDefault="00AA450E" w:rsidP="002E429A">
      <w:pPr>
        <w:spacing w:line="360" w:lineRule="auto"/>
        <w:rPr>
          <w:rFonts w:ascii="Times New Roman" w:hAnsi="Times New Roman" w:cs="Times New Roman"/>
        </w:rPr>
      </w:pPr>
    </w:p>
    <w:p w14:paraId="7E3FAA0B" w14:textId="3CE5F8BA" w:rsidR="5F2D0C04" w:rsidRPr="00E36758" w:rsidRDefault="5F2D0C04" w:rsidP="002E429A">
      <w:pPr>
        <w:spacing w:line="360" w:lineRule="auto"/>
        <w:rPr>
          <w:rFonts w:ascii="Times New Roman" w:hAnsi="Times New Roman" w:cs="Times New Roman"/>
          <w:sz w:val="32"/>
          <w:szCs w:val="32"/>
        </w:rPr>
      </w:pPr>
      <w:r w:rsidRPr="00E36758">
        <w:rPr>
          <w:rFonts w:ascii="Times New Roman" w:hAnsi="Times New Roman" w:cs="Times New Roman"/>
          <w:b/>
          <w:bCs/>
          <w:sz w:val="32"/>
          <w:szCs w:val="32"/>
        </w:rPr>
        <w:lastRenderedPageBreak/>
        <w:t>Discussion</w:t>
      </w:r>
      <w:r w:rsidR="00297C11" w:rsidRPr="00E36758">
        <w:rPr>
          <w:rFonts w:ascii="Times New Roman" w:hAnsi="Times New Roman" w:cs="Times New Roman"/>
          <w:b/>
          <w:bCs/>
          <w:sz w:val="32"/>
          <w:szCs w:val="32"/>
        </w:rPr>
        <w:t xml:space="preserve"> and Conclusion</w:t>
      </w:r>
    </w:p>
    <w:p w14:paraId="6522A554" w14:textId="27E10D5E" w:rsidR="009014A1" w:rsidRPr="003B3498" w:rsidRDefault="009014A1" w:rsidP="00552A3E">
      <w:pPr>
        <w:spacing w:line="240" w:lineRule="auto"/>
        <w:ind w:firstLine="720"/>
        <w:rPr>
          <w:rFonts w:ascii="Times New Roman" w:hAnsi="Times New Roman" w:cs="Times New Roman"/>
          <w:sz w:val="24"/>
          <w:szCs w:val="24"/>
        </w:rPr>
      </w:pPr>
      <w:r w:rsidRPr="003B3498">
        <w:rPr>
          <w:rFonts w:ascii="Times New Roman" w:hAnsi="Times New Roman" w:cs="Times New Roman"/>
          <w:sz w:val="24"/>
          <w:szCs w:val="24"/>
        </w:rPr>
        <w:t xml:space="preserve">This study shows an overall view of the effect of painful procedures over development of sensory thresholds in </w:t>
      </w:r>
      <w:r w:rsidR="00F05D37" w:rsidRPr="003B3498">
        <w:rPr>
          <w:rFonts w:ascii="Times New Roman" w:hAnsi="Times New Roman" w:cs="Times New Roman"/>
          <w:sz w:val="24"/>
          <w:szCs w:val="24"/>
        </w:rPr>
        <w:t>singular stimulation</w:t>
      </w:r>
      <w:r w:rsidRPr="003B3498">
        <w:rPr>
          <w:rFonts w:ascii="Times New Roman" w:hAnsi="Times New Roman" w:cs="Times New Roman"/>
          <w:sz w:val="24"/>
          <w:szCs w:val="24"/>
        </w:rPr>
        <w:t xml:space="preserve"> settings. </w:t>
      </w:r>
      <w:r w:rsidR="002B15BE" w:rsidRPr="003B3498">
        <w:rPr>
          <w:rFonts w:ascii="Times New Roman" w:hAnsi="Times New Roman" w:cs="Times New Roman"/>
          <w:sz w:val="24"/>
          <w:szCs w:val="24"/>
        </w:rPr>
        <w:t>I</w:t>
      </w:r>
      <w:r w:rsidR="005C6593" w:rsidRPr="003B3498">
        <w:rPr>
          <w:rFonts w:ascii="Times New Roman" w:hAnsi="Times New Roman" w:cs="Times New Roman"/>
          <w:sz w:val="24"/>
          <w:szCs w:val="24"/>
        </w:rPr>
        <w:t xml:space="preserve">t is evident that the children tested fell into the normal pattern of development of increasing thresholds as they grow older. </w:t>
      </w:r>
      <w:r w:rsidR="00E55478" w:rsidRPr="003B3498">
        <w:rPr>
          <w:rFonts w:ascii="Times New Roman" w:hAnsi="Times New Roman" w:cs="Times New Roman"/>
          <w:sz w:val="24"/>
          <w:szCs w:val="24"/>
        </w:rPr>
        <w:t>There is a slight</w:t>
      </w:r>
      <w:r w:rsidR="00037EA6" w:rsidRPr="003B3498">
        <w:rPr>
          <w:rFonts w:ascii="Times New Roman" w:hAnsi="Times New Roman" w:cs="Times New Roman"/>
          <w:sz w:val="24"/>
          <w:szCs w:val="24"/>
        </w:rPr>
        <w:t xml:space="preserve"> decrease for singular stimulation between 4 and 10 months, however it is not considered a significant decrease and should be accounted for by the small sample size in the 10-month group.</w:t>
      </w:r>
      <w:r w:rsidR="00400D11" w:rsidRPr="003B3498">
        <w:rPr>
          <w:rFonts w:ascii="Times New Roman" w:hAnsi="Times New Roman" w:cs="Times New Roman"/>
          <w:sz w:val="24"/>
          <w:szCs w:val="24"/>
        </w:rPr>
        <w:t xml:space="preserve"> T</w:t>
      </w:r>
      <w:r w:rsidR="00037EA6" w:rsidRPr="003B3498">
        <w:rPr>
          <w:rFonts w:ascii="Times New Roman" w:hAnsi="Times New Roman" w:cs="Times New Roman"/>
          <w:sz w:val="24"/>
          <w:szCs w:val="24"/>
        </w:rPr>
        <w:t>he average of the sensory thresholds for singular stimulation is heading towards the right direction when it comes to development of sensory thresholds.</w:t>
      </w:r>
      <w:r w:rsidR="00F05E77" w:rsidRPr="003B3498">
        <w:rPr>
          <w:rFonts w:ascii="Times New Roman" w:hAnsi="Times New Roman" w:cs="Times New Roman"/>
          <w:sz w:val="24"/>
          <w:szCs w:val="24"/>
        </w:rPr>
        <w:t xml:space="preserve"> Research needs to follow these children as they grow older at 2 and 5 years old to make sure that this </w:t>
      </w:r>
      <w:r w:rsidR="00C86764" w:rsidRPr="003B3498">
        <w:rPr>
          <w:rFonts w:ascii="Times New Roman" w:hAnsi="Times New Roman" w:cs="Times New Roman"/>
          <w:sz w:val="24"/>
          <w:szCs w:val="24"/>
        </w:rPr>
        <w:t xml:space="preserve">development continues through normalcy. </w:t>
      </w:r>
    </w:p>
    <w:p w14:paraId="5B6BB6C4" w14:textId="5725BF8A" w:rsidR="0005214B" w:rsidRPr="003B3498" w:rsidRDefault="00772AE0" w:rsidP="00552A3E">
      <w:pPr>
        <w:spacing w:line="240" w:lineRule="auto"/>
        <w:ind w:firstLine="720"/>
        <w:rPr>
          <w:rFonts w:ascii="Times New Roman" w:hAnsi="Times New Roman" w:cs="Times New Roman"/>
          <w:sz w:val="24"/>
          <w:szCs w:val="24"/>
        </w:rPr>
      </w:pPr>
      <w:r w:rsidRPr="003B3498">
        <w:rPr>
          <w:rFonts w:ascii="Times New Roman" w:hAnsi="Times New Roman" w:cs="Times New Roman"/>
          <w:sz w:val="24"/>
          <w:szCs w:val="24"/>
        </w:rPr>
        <w:t xml:space="preserve">Results shown in this study can be used to reassure parents of safety of short duration </w:t>
      </w:r>
      <w:r w:rsidR="00410AA6" w:rsidRPr="003B3498">
        <w:rPr>
          <w:rFonts w:ascii="Times New Roman" w:hAnsi="Times New Roman" w:cs="Times New Roman"/>
          <w:sz w:val="24"/>
          <w:szCs w:val="24"/>
        </w:rPr>
        <w:t xml:space="preserve">exposures to painful procedures and bring application to clinical trials testing </w:t>
      </w:r>
      <w:r w:rsidR="0092369C" w:rsidRPr="003B3498">
        <w:rPr>
          <w:rFonts w:ascii="Times New Roman" w:hAnsi="Times New Roman" w:cs="Times New Roman"/>
          <w:sz w:val="24"/>
          <w:szCs w:val="24"/>
        </w:rPr>
        <w:t>topical anesthetics as well needle procedures presented in pain management for pediatric patients.</w:t>
      </w:r>
    </w:p>
    <w:p w14:paraId="1B45F112" w14:textId="25D326F8" w:rsidR="66C166C5" w:rsidRPr="003B3498" w:rsidRDefault="66C166C5" w:rsidP="00552A3E">
      <w:pPr>
        <w:spacing w:line="240" w:lineRule="auto"/>
        <w:ind w:firstLine="720"/>
        <w:rPr>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This study has several limitations </w:t>
      </w:r>
      <w:r w:rsidR="1DA631E8" w:rsidRPr="003B3498">
        <w:rPr>
          <w:rFonts w:ascii="Times New Roman" w:eastAsia="Georgia" w:hAnsi="Times New Roman" w:cs="Times New Roman"/>
          <w:sz w:val="24"/>
          <w:szCs w:val="24"/>
        </w:rPr>
        <w:t xml:space="preserve">which surround sample size due to circumstances involving the COVID-19 pandemic. </w:t>
      </w:r>
      <w:r w:rsidR="499B860F" w:rsidRPr="003B3498">
        <w:rPr>
          <w:rFonts w:ascii="Times New Roman" w:eastAsia="Georgia" w:hAnsi="Times New Roman" w:cs="Times New Roman"/>
          <w:sz w:val="24"/>
          <w:szCs w:val="24"/>
        </w:rPr>
        <w:t xml:space="preserve">Many children were unable to attend to all three scheduled visits at 2-, 4-, and 10- months </w:t>
      </w:r>
      <w:r w:rsidR="74600AA1" w:rsidRPr="003B3498">
        <w:rPr>
          <w:rFonts w:ascii="Times New Roman" w:eastAsia="Georgia" w:hAnsi="Times New Roman" w:cs="Times New Roman"/>
          <w:sz w:val="24"/>
          <w:szCs w:val="24"/>
        </w:rPr>
        <w:t xml:space="preserve">because of the pandemic’s restrictions to visit hospital settings, </w:t>
      </w:r>
      <w:r w:rsidR="499B860F" w:rsidRPr="003B3498">
        <w:rPr>
          <w:rFonts w:ascii="Times New Roman" w:eastAsia="Georgia" w:hAnsi="Times New Roman" w:cs="Times New Roman"/>
          <w:sz w:val="24"/>
          <w:szCs w:val="24"/>
        </w:rPr>
        <w:t xml:space="preserve">so there are </w:t>
      </w:r>
      <w:r w:rsidR="3B9D89B2" w:rsidRPr="003B3498">
        <w:rPr>
          <w:rFonts w:ascii="Times New Roman" w:eastAsia="Georgia" w:hAnsi="Times New Roman" w:cs="Times New Roman"/>
          <w:sz w:val="24"/>
          <w:szCs w:val="24"/>
        </w:rPr>
        <w:t>missing points in several of the children’s profile. Throughout the visit, the children were also put through three steps of the larger study and may have been exposed to fatigue, hunger, and other factors that could have affected thresholds a</w:t>
      </w:r>
      <w:r w:rsidR="6DF9743D" w:rsidRPr="003B3498">
        <w:rPr>
          <w:rFonts w:ascii="Times New Roman" w:eastAsia="Georgia" w:hAnsi="Times New Roman" w:cs="Times New Roman"/>
          <w:sz w:val="24"/>
          <w:szCs w:val="24"/>
        </w:rPr>
        <w:t xml:space="preserve">nd responses. Some children were not able to go through all three steps of the larger study and missing points were also present due to this reason. </w:t>
      </w:r>
      <w:r w:rsidR="058A35A4" w:rsidRPr="003B3498">
        <w:rPr>
          <w:rFonts w:ascii="Times New Roman" w:eastAsia="Georgia" w:hAnsi="Times New Roman" w:cs="Times New Roman"/>
          <w:sz w:val="24"/>
          <w:szCs w:val="24"/>
        </w:rPr>
        <w:t>These missing points made sample sizes small for this study and makes it difficult to generalize data to a larger group.</w:t>
      </w:r>
    </w:p>
    <w:p w14:paraId="4C5C7132" w14:textId="12BA04E5" w:rsidR="00297C11" w:rsidRPr="00552A3E" w:rsidRDefault="6FC9D1E8" w:rsidP="00552A3E">
      <w:pPr>
        <w:spacing w:line="240" w:lineRule="auto"/>
        <w:ind w:firstLine="720"/>
        <w:rPr>
          <w:rStyle w:val="normaltextrun"/>
          <w:rFonts w:ascii="Times New Roman" w:eastAsia="Georgia" w:hAnsi="Times New Roman" w:cs="Times New Roman"/>
          <w:sz w:val="24"/>
          <w:szCs w:val="24"/>
        </w:rPr>
      </w:pPr>
      <w:r w:rsidRPr="003B3498">
        <w:rPr>
          <w:rFonts w:ascii="Times New Roman" w:eastAsia="Georgia" w:hAnsi="Times New Roman" w:cs="Times New Roman"/>
          <w:sz w:val="24"/>
          <w:szCs w:val="24"/>
        </w:rPr>
        <w:t xml:space="preserve">Although this study </w:t>
      </w:r>
      <w:r w:rsidR="795C96F1" w:rsidRPr="003B3498">
        <w:rPr>
          <w:rFonts w:ascii="Times New Roman" w:eastAsia="Georgia" w:hAnsi="Times New Roman" w:cs="Times New Roman"/>
          <w:sz w:val="24"/>
          <w:szCs w:val="24"/>
        </w:rPr>
        <w:t>enables the</w:t>
      </w:r>
      <w:r w:rsidRPr="003B3498">
        <w:rPr>
          <w:rFonts w:ascii="Times New Roman" w:eastAsia="Georgia" w:hAnsi="Times New Roman" w:cs="Times New Roman"/>
          <w:sz w:val="24"/>
          <w:szCs w:val="24"/>
        </w:rPr>
        <w:t xml:space="preserve"> assess</w:t>
      </w:r>
      <w:r w:rsidR="180AC5A3" w:rsidRPr="003B3498">
        <w:rPr>
          <w:rFonts w:ascii="Times New Roman" w:eastAsia="Georgia" w:hAnsi="Times New Roman" w:cs="Times New Roman"/>
          <w:sz w:val="24"/>
          <w:szCs w:val="24"/>
        </w:rPr>
        <w:t>ing of</w:t>
      </w:r>
      <w:r w:rsidRPr="003B3498">
        <w:rPr>
          <w:rFonts w:ascii="Times New Roman" w:eastAsia="Georgia" w:hAnsi="Times New Roman" w:cs="Times New Roman"/>
          <w:sz w:val="24"/>
          <w:szCs w:val="24"/>
        </w:rPr>
        <w:t xml:space="preserve"> the development of sensory thresholds in the first year of life, a larger sample size should be used for future studies to </w:t>
      </w:r>
      <w:r w:rsidR="2D689BD5" w:rsidRPr="003B3498">
        <w:rPr>
          <w:rFonts w:ascii="Times New Roman" w:eastAsia="Georgia" w:hAnsi="Times New Roman" w:cs="Times New Roman"/>
          <w:sz w:val="24"/>
          <w:szCs w:val="24"/>
        </w:rPr>
        <w:t>find conclusi</w:t>
      </w:r>
      <w:r w:rsidRPr="003B3498">
        <w:rPr>
          <w:rFonts w:ascii="Times New Roman" w:eastAsia="Georgia" w:hAnsi="Times New Roman" w:cs="Times New Roman"/>
          <w:sz w:val="24"/>
          <w:szCs w:val="24"/>
        </w:rPr>
        <w:t>ons that could easier to generalize to a larger group. Development of sensory thres</w:t>
      </w:r>
      <w:r w:rsidR="5582DAE5" w:rsidRPr="003B3498">
        <w:rPr>
          <w:rFonts w:ascii="Times New Roman" w:eastAsia="Georgia" w:hAnsi="Times New Roman" w:cs="Times New Roman"/>
          <w:sz w:val="24"/>
          <w:szCs w:val="24"/>
        </w:rPr>
        <w:t>holds should be assessed into the first 2 and 5 years of life including school aged children. Effects of types of procedures and different risk factors should be assessed in determining the developmental factors of changes.</w:t>
      </w:r>
    </w:p>
    <w:p w14:paraId="5731F1A3" w14:textId="77777777" w:rsidR="00817DE5" w:rsidRPr="00297C11" w:rsidRDefault="00817DE5" w:rsidP="002E429A">
      <w:pPr>
        <w:pStyle w:val="paragraph"/>
        <w:spacing w:before="0" w:beforeAutospacing="0" w:after="0" w:afterAutospacing="0" w:line="360" w:lineRule="auto"/>
        <w:textAlignment w:val="baseline"/>
        <w:rPr>
          <w:rStyle w:val="normaltextrun"/>
          <w:b/>
          <w:bCs/>
          <w:sz w:val="22"/>
          <w:szCs w:val="22"/>
        </w:rPr>
      </w:pPr>
    </w:p>
    <w:p w14:paraId="426483E4" w14:textId="5D9797E2" w:rsidR="00817DE5" w:rsidRPr="00E36758" w:rsidRDefault="00297C11" w:rsidP="002E429A">
      <w:pPr>
        <w:pStyle w:val="paragraph"/>
        <w:spacing w:before="0" w:beforeAutospacing="0" w:after="0" w:afterAutospacing="0" w:line="360" w:lineRule="auto"/>
        <w:textAlignment w:val="baseline"/>
        <w:rPr>
          <w:rStyle w:val="normaltextrun"/>
          <w:b/>
          <w:bCs/>
          <w:sz w:val="32"/>
          <w:szCs w:val="32"/>
        </w:rPr>
      </w:pPr>
      <w:r w:rsidRPr="00E36758">
        <w:rPr>
          <w:rStyle w:val="normaltextrun"/>
          <w:b/>
          <w:bCs/>
          <w:sz w:val="32"/>
          <w:szCs w:val="32"/>
        </w:rPr>
        <w:t>References</w:t>
      </w:r>
    </w:p>
    <w:p w14:paraId="4B1E11CF" w14:textId="7E69F838" w:rsidR="004C04AC" w:rsidRPr="00BB4867" w:rsidRDefault="004C04AC" w:rsidP="002E429A">
      <w:pPr>
        <w:pStyle w:val="paragraph"/>
        <w:spacing w:before="0" w:beforeAutospacing="0" w:after="0" w:afterAutospacing="0" w:line="360" w:lineRule="auto"/>
        <w:textAlignment w:val="baseline"/>
        <w:rPr>
          <w:sz w:val="22"/>
          <w:szCs w:val="22"/>
        </w:rPr>
      </w:pPr>
      <w:proofErr w:type="spellStart"/>
      <w:r w:rsidRPr="00BB4867">
        <w:rPr>
          <w:rStyle w:val="normaltextrun"/>
          <w:sz w:val="22"/>
          <w:szCs w:val="22"/>
        </w:rPr>
        <w:t>Abdulkader</w:t>
      </w:r>
      <w:proofErr w:type="spellEnd"/>
      <w:r w:rsidRPr="00BB4867">
        <w:rPr>
          <w:rStyle w:val="normaltextrun"/>
          <w:sz w:val="22"/>
          <w:szCs w:val="22"/>
        </w:rPr>
        <w:t>, H. M., Freer, Y., Fleetwood-Walker, S. M., &amp; McIntosh, N. (2008). Bodily Progression of Motor Responses to Increasing Mechanical Force Stimulation in the Newborn Infant and the Effect of Heel Prick. </w:t>
      </w:r>
      <w:r w:rsidRPr="00BB4867">
        <w:rPr>
          <w:rStyle w:val="normaltextrun"/>
          <w:i/>
          <w:iCs/>
          <w:sz w:val="22"/>
          <w:szCs w:val="22"/>
        </w:rPr>
        <w:t>Neonatology</w:t>
      </w:r>
      <w:r w:rsidRPr="00BB4867">
        <w:rPr>
          <w:rStyle w:val="normaltextrun"/>
          <w:sz w:val="22"/>
          <w:szCs w:val="22"/>
        </w:rPr>
        <w:t>, </w:t>
      </w:r>
      <w:r w:rsidRPr="00BB4867">
        <w:rPr>
          <w:rStyle w:val="normaltextrun"/>
          <w:i/>
          <w:iCs/>
          <w:sz w:val="22"/>
          <w:szCs w:val="22"/>
        </w:rPr>
        <w:t>94</w:t>
      </w:r>
      <w:r w:rsidRPr="00BB4867">
        <w:rPr>
          <w:rStyle w:val="normaltextrun"/>
          <w:sz w:val="22"/>
          <w:szCs w:val="22"/>
        </w:rPr>
        <w:t>(1), 38–44. </w:t>
      </w:r>
      <w:hyperlink r:id="rId12" w:tgtFrame="_blank" w:history="1">
        <w:r w:rsidRPr="00BB4867">
          <w:rPr>
            <w:rStyle w:val="normaltextrun"/>
            <w:sz w:val="22"/>
            <w:szCs w:val="22"/>
            <w:u w:val="single"/>
          </w:rPr>
          <w:t>https://doi.org/10.1159/000112948</w:t>
        </w:r>
      </w:hyperlink>
      <w:r w:rsidRPr="00BB4867">
        <w:rPr>
          <w:rStyle w:val="eop"/>
          <w:sz w:val="22"/>
          <w:szCs w:val="22"/>
        </w:rPr>
        <w:t> </w:t>
      </w:r>
    </w:p>
    <w:p w14:paraId="36296D9A"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5B9E1D92" w14:textId="2C9DA0AA" w:rsidR="004C04AC" w:rsidRPr="00BB4867" w:rsidRDefault="004C04AC" w:rsidP="002E429A">
      <w:pPr>
        <w:pStyle w:val="paragraph"/>
        <w:spacing w:before="0" w:beforeAutospacing="0" w:after="0" w:afterAutospacing="0" w:line="360" w:lineRule="auto"/>
        <w:textAlignment w:val="baseline"/>
        <w:rPr>
          <w:sz w:val="22"/>
          <w:szCs w:val="22"/>
        </w:rPr>
      </w:pPr>
      <w:proofErr w:type="spellStart"/>
      <w:r w:rsidRPr="00BB4867">
        <w:rPr>
          <w:rStyle w:val="normaltextrun"/>
          <w:sz w:val="22"/>
          <w:szCs w:val="22"/>
        </w:rPr>
        <w:t>Abdulkader</w:t>
      </w:r>
      <w:proofErr w:type="spellEnd"/>
      <w:r w:rsidRPr="00BB4867">
        <w:rPr>
          <w:rStyle w:val="normaltextrun"/>
          <w:sz w:val="22"/>
          <w:szCs w:val="22"/>
        </w:rPr>
        <w:t>, H. M., Freer, Y., Garry, E. M., Fleetwood-Walker, S. M., &amp; McIntosh, N. (2008). Prematurity and neonatal noxious events exert lasting effects on infant pain </w:t>
      </w:r>
      <w:proofErr w:type="spellStart"/>
      <w:r w:rsidRPr="00BB4867">
        <w:rPr>
          <w:rStyle w:val="normaltextrun"/>
          <w:sz w:val="22"/>
          <w:szCs w:val="22"/>
        </w:rPr>
        <w:t>behaviour</w:t>
      </w:r>
      <w:proofErr w:type="spellEnd"/>
      <w:r w:rsidRPr="00BB4867">
        <w:rPr>
          <w:rStyle w:val="normaltextrun"/>
          <w:sz w:val="22"/>
          <w:szCs w:val="22"/>
        </w:rPr>
        <w:t>. </w:t>
      </w:r>
      <w:r w:rsidRPr="00BB4867">
        <w:rPr>
          <w:rStyle w:val="normaltextrun"/>
          <w:i/>
          <w:iCs/>
          <w:sz w:val="22"/>
          <w:szCs w:val="22"/>
        </w:rPr>
        <w:t>Early Human Development</w:t>
      </w:r>
      <w:r w:rsidRPr="00BB4867">
        <w:rPr>
          <w:rStyle w:val="normaltextrun"/>
          <w:sz w:val="22"/>
          <w:szCs w:val="22"/>
        </w:rPr>
        <w:t>, </w:t>
      </w:r>
      <w:r w:rsidRPr="00BB4867">
        <w:rPr>
          <w:rStyle w:val="normaltextrun"/>
          <w:i/>
          <w:iCs/>
          <w:sz w:val="22"/>
          <w:szCs w:val="22"/>
        </w:rPr>
        <w:t>84</w:t>
      </w:r>
      <w:r w:rsidRPr="00BB4867">
        <w:rPr>
          <w:rStyle w:val="normaltextrun"/>
          <w:sz w:val="22"/>
          <w:szCs w:val="22"/>
        </w:rPr>
        <w:t>(6), 351–355. </w:t>
      </w:r>
      <w:hyperlink r:id="rId13" w:tgtFrame="_blank" w:history="1">
        <w:r w:rsidRPr="00BB4867">
          <w:rPr>
            <w:rStyle w:val="normaltextrun"/>
            <w:sz w:val="22"/>
            <w:szCs w:val="22"/>
            <w:u w:val="single"/>
          </w:rPr>
          <w:t>https://doi.org/10.1016/j.earlhumdev.2007.09.018</w:t>
        </w:r>
      </w:hyperlink>
      <w:r w:rsidRPr="00BB4867">
        <w:rPr>
          <w:rStyle w:val="eop"/>
          <w:sz w:val="22"/>
          <w:szCs w:val="22"/>
        </w:rPr>
        <w:t> </w:t>
      </w:r>
    </w:p>
    <w:p w14:paraId="3CDE2DC0"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5BE14F0B" w14:textId="6E5E9099" w:rsidR="004C04AC" w:rsidRPr="00BB4867" w:rsidRDefault="004C04AC" w:rsidP="002E429A">
      <w:pPr>
        <w:pStyle w:val="paragraph"/>
        <w:spacing w:before="0" w:beforeAutospacing="0" w:after="0" w:afterAutospacing="0" w:line="360" w:lineRule="auto"/>
        <w:textAlignment w:val="baseline"/>
        <w:rPr>
          <w:sz w:val="22"/>
          <w:szCs w:val="22"/>
        </w:rPr>
      </w:pPr>
      <w:r w:rsidRPr="00BB4867">
        <w:rPr>
          <w:rStyle w:val="normaltextrun"/>
          <w:sz w:val="22"/>
          <w:szCs w:val="22"/>
        </w:rPr>
        <w:lastRenderedPageBreak/>
        <w:t>André, V., </w:t>
      </w:r>
      <w:proofErr w:type="spellStart"/>
      <w:r w:rsidRPr="00BB4867">
        <w:rPr>
          <w:rStyle w:val="normaltextrun"/>
          <w:sz w:val="22"/>
          <w:szCs w:val="22"/>
        </w:rPr>
        <w:t>Durier</w:t>
      </w:r>
      <w:proofErr w:type="spellEnd"/>
      <w:r w:rsidRPr="00BB4867">
        <w:rPr>
          <w:rStyle w:val="normaltextrun"/>
          <w:sz w:val="22"/>
          <w:szCs w:val="22"/>
        </w:rPr>
        <w:t>, V., </w:t>
      </w:r>
      <w:proofErr w:type="spellStart"/>
      <w:r w:rsidRPr="00BB4867">
        <w:rPr>
          <w:rStyle w:val="normaltextrun"/>
          <w:sz w:val="22"/>
          <w:szCs w:val="22"/>
        </w:rPr>
        <w:t>Beuchée</w:t>
      </w:r>
      <w:proofErr w:type="spellEnd"/>
      <w:r w:rsidRPr="00BB4867">
        <w:rPr>
          <w:rStyle w:val="normaltextrun"/>
          <w:sz w:val="22"/>
          <w:szCs w:val="22"/>
        </w:rPr>
        <w:t>, A., Roué, J.-M., </w:t>
      </w:r>
      <w:proofErr w:type="spellStart"/>
      <w:r w:rsidRPr="00BB4867">
        <w:rPr>
          <w:rStyle w:val="normaltextrun"/>
          <w:sz w:val="22"/>
          <w:szCs w:val="22"/>
        </w:rPr>
        <w:t>Lemasson</w:t>
      </w:r>
      <w:proofErr w:type="spellEnd"/>
      <w:r w:rsidRPr="00BB4867">
        <w:rPr>
          <w:rStyle w:val="normaltextrun"/>
          <w:sz w:val="22"/>
          <w:szCs w:val="22"/>
        </w:rPr>
        <w:t>, A., </w:t>
      </w:r>
      <w:proofErr w:type="spellStart"/>
      <w:r w:rsidRPr="00BB4867">
        <w:rPr>
          <w:rStyle w:val="normaltextrun"/>
          <w:sz w:val="22"/>
          <w:szCs w:val="22"/>
        </w:rPr>
        <w:t>Hausberger</w:t>
      </w:r>
      <w:proofErr w:type="spellEnd"/>
      <w:r w:rsidRPr="00BB4867">
        <w:rPr>
          <w:rStyle w:val="normaltextrun"/>
          <w:sz w:val="22"/>
          <w:szCs w:val="22"/>
        </w:rPr>
        <w:t>, M., </w:t>
      </w:r>
      <w:proofErr w:type="spellStart"/>
      <w:r w:rsidRPr="00BB4867">
        <w:rPr>
          <w:rStyle w:val="normaltextrun"/>
          <w:sz w:val="22"/>
          <w:szCs w:val="22"/>
        </w:rPr>
        <w:t>Sizun</w:t>
      </w:r>
      <w:proofErr w:type="spellEnd"/>
      <w:r w:rsidRPr="00BB4867">
        <w:rPr>
          <w:rStyle w:val="normaltextrun"/>
          <w:sz w:val="22"/>
          <w:szCs w:val="22"/>
        </w:rPr>
        <w:t>, J., &amp; Henry, S. (2020). Higher tactile sensitivity in preterm infants at term-equivalent age: A pilot study. </w:t>
      </w:r>
      <w:r w:rsidRPr="00BB4867">
        <w:rPr>
          <w:rStyle w:val="normaltextrun"/>
          <w:i/>
          <w:iCs/>
          <w:sz w:val="22"/>
          <w:szCs w:val="22"/>
        </w:rPr>
        <w:t>PLOS ONE</w:t>
      </w:r>
      <w:r w:rsidRPr="00BB4867">
        <w:rPr>
          <w:rStyle w:val="normaltextrun"/>
          <w:sz w:val="22"/>
          <w:szCs w:val="22"/>
        </w:rPr>
        <w:t>, </w:t>
      </w:r>
      <w:r w:rsidRPr="00BB4867">
        <w:rPr>
          <w:rStyle w:val="normaltextrun"/>
          <w:i/>
          <w:iCs/>
          <w:sz w:val="22"/>
          <w:szCs w:val="22"/>
        </w:rPr>
        <w:t>15</w:t>
      </w:r>
      <w:r w:rsidRPr="00BB4867">
        <w:rPr>
          <w:rStyle w:val="normaltextrun"/>
          <w:sz w:val="22"/>
          <w:szCs w:val="22"/>
        </w:rPr>
        <w:t>(3), e0229270. </w:t>
      </w:r>
      <w:hyperlink r:id="rId14" w:tgtFrame="_blank" w:history="1">
        <w:r w:rsidRPr="00BB4867">
          <w:rPr>
            <w:rStyle w:val="normaltextrun"/>
            <w:sz w:val="22"/>
            <w:szCs w:val="22"/>
            <w:u w:val="single"/>
          </w:rPr>
          <w:t>https://doi.org/10.1371/journal.pone.0229270</w:t>
        </w:r>
      </w:hyperlink>
      <w:r w:rsidRPr="00BB4867">
        <w:rPr>
          <w:rStyle w:val="eop"/>
          <w:sz w:val="22"/>
          <w:szCs w:val="22"/>
        </w:rPr>
        <w:t> </w:t>
      </w:r>
    </w:p>
    <w:p w14:paraId="0B0DCFF6"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6DA22D23" w14:textId="328DF571" w:rsidR="004C04AC" w:rsidRPr="00BB4867" w:rsidRDefault="004C04AC" w:rsidP="002E429A">
      <w:pPr>
        <w:pStyle w:val="paragraph"/>
        <w:spacing w:before="0" w:beforeAutospacing="0" w:after="0" w:afterAutospacing="0" w:line="360" w:lineRule="auto"/>
        <w:textAlignment w:val="baseline"/>
        <w:rPr>
          <w:sz w:val="22"/>
          <w:szCs w:val="22"/>
        </w:rPr>
      </w:pPr>
      <w:r w:rsidRPr="00BB4867">
        <w:rPr>
          <w:rStyle w:val="normaltextrun"/>
          <w:sz w:val="22"/>
          <w:szCs w:val="22"/>
        </w:rPr>
        <w:t>Andrews, K., &amp; Fitzgerald, M. (2007). Cutaneous flexion reflex in human neonates: a quantitative study of threshold and stimulus-response characteristics after single and repeated stimuli. </w:t>
      </w:r>
      <w:r w:rsidRPr="00BB4867">
        <w:rPr>
          <w:rStyle w:val="normaltextrun"/>
          <w:i/>
          <w:iCs/>
          <w:sz w:val="22"/>
          <w:szCs w:val="22"/>
        </w:rPr>
        <w:t>Developmental Medicine &amp; Child Neurology</w:t>
      </w:r>
      <w:r w:rsidRPr="00BB4867">
        <w:rPr>
          <w:rStyle w:val="normaltextrun"/>
          <w:sz w:val="22"/>
          <w:szCs w:val="22"/>
        </w:rPr>
        <w:t>, </w:t>
      </w:r>
      <w:r w:rsidRPr="00BB4867">
        <w:rPr>
          <w:rStyle w:val="normaltextrun"/>
          <w:i/>
          <w:iCs/>
          <w:sz w:val="22"/>
          <w:szCs w:val="22"/>
        </w:rPr>
        <w:t>41</w:t>
      </w:r>
      <w:r w:rsidRPr="00BB4867">
        <w:rPr>
          <w:rStyle w:val="normaltextrun"/>
          <w:sz w:val="22"/>
          <w:szCs w:val="22"/>
        </w:rPr>
        <w:t>(10), 696–703. </w:t>
      </w:r>
      <w:hyperlink r:id="rId15" w:tgtFrame="_blank" w:history="1">
        <w:r w:rsidRPr="00BB4867">
          <w:rPr>
            <w:rStyle w:val="normaltextrun"/>
            <w:sz w:val="22"/>
            <w:szCs w:val="22"/>
            <w:u w:val="single"/>
          </w:rPr>
          <w:t>https://doi.org/10.1111/j.1469-8749.1999.tb00525.x</w:t>
        </w:r>
      </w:hyperlink>
      <w:r w:rsidRPr="00BB4867">
        <w:rPr>
          <w:rStyle w:val="eop"/>
          <w:sz w:val="22"/>
          <w:szCs w:val="22"/>
        </w:rPr>
        <w:t> </w:t>
      </w:r>
    </w:p>
    <w:p w14:paraId="2B18E609"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01AA973F" w14:textId="2BEFD707" w:rsidR="004C04AC" w:rsidRPr="00BB4867" w:rsidRDefault="004C04AC" w:rsidP="002E429A">
      <w:pPr>
        <w:pStyle w:val="paragraph"/>
        <w:spacing w:before="0" w:beforeAutospacing="0" w:after="0" w:afterAutospacing="0" w:line="360" w:lineRule="auto"/>
        <w:textAlignment w:val="baseline"/>
        <w:rPr>
          <w:sz w:val="22"/>
          <w:szCs w:val="22"/>
        </w:rPr>
      </w:pPr>
      <w:r w:rsidRPr="00BB4867">
        <w:rPr>
          <w:rStyle w:val="normaltextrun"/>
          <w:sz w:val="22"/>
          <w:szCs w:val="22"/>
        </w:rPr>
        <w:t xml:space="preserve">Cornelissen, L., </w:t>
      </w:r>
      <w:proofErr w:type="spellStart"/>
      <w:r w:rsidRPr="00BB4867">
        <w:rPr>
          <w:rStyle w:val="normaltextrun"/>
          <w:sz w:val="22"/>
          <w:szCs w:val="22"/>
        </w:rPr>
        <w:t>Fabrizi</w:t>
      </w:r>
      <w:proofErr w:type="spellEnd"/>
      <w:r w:rsidRPr="00BB4867">
        <w:rPr>
          <w:rStyle w:val="normaltextrun"/>
          <w:sz w:val="22"/>
          <w:szCs w:val="22"/>
        </w:rPr>
        <w:t>, L., Patten, D., Worley, A., Meek, J., Boyd, S., Slater, R., &amp; Fitzgerald, M. (2013). Postnatal Temporal, Spatial and Modality Tuning of Nociceptive Cutaneous Flexion Reflexes in Human Infants. </w:t>
      </w:r>
      <w:proofErr w:type="spellStart"/>
      <w:r w:rsidRPr="00BB4867">
        <w:rPr>
          <w:rStyle w:val="normaltextrun"/>
          <w:i/>
          <w:iCs/>
          <w:sz w:val="22"/>
          <w:szCs w:val="22"/>
        </w:rPr>
        <w:t>PLoS</w:t>
      </w:r>
      <w:proofErr w:type="spellEnd"/>
      <w:r w:rsidRPr="00BB4867">
        <w:rPr>
          <w:rStyle w:val="normaltextrun"/>
          <w:i/>
          <w:iCs/>
          <w:sz w:val="22"/>
          <w:szCs w:val="22"/>
        </w:rPr>
        <w:t> ONE</w:t>
      </w:r>
      <w:r w:rsidRPr="00BB4867">
        <w:rPr>
          <w:rStyle w:val="normaltextrun"/>
          <w:sz w:val="22"/>
          <w:szCs w:val="22"/>
        </w:rPr>
        <w:t>, </w:t>
      </w:r>
      <w:r w:rsidRPr="00BB4867">
        <w:rPr>
          <w:rStyle w:val="normaltextrun"/>
          <w:i/>
          <w:iCs/>
          <w:sz w:val="22"/>
          <w:szCs w:val="22"/>
        </w:rPr>
        <w:t>8</w:t>
      </w:r>
      <w:r w:rsidRPr="00BB4867">
        <w:rPr>
          <w:rStyle w:val="normaltextrun"/>
          <w:sz w:val="22"/>
          <w:szCs w:val="22"/>
        </w:rPr>
        <w:t>(10), e76470. </w:t>
      </w:r>
      <w:hyperlink r:id="rId16" w:tgtFrame="_blank" w:history="1">
        <w:r w:rsidRPr="00BB4867">
          <w:rPr>
            <w:rStyle w:val="normaltextrun"/>
            <w:sz w:val="22"/>
            <w:szCs w:val="22"/>
            <w:u w:val="single"/>
          </w:rPr>
          <w:t>https://doi.org/10.1371/journal.pone.0076470</w:t>
        </w:r>
      </w:hyperlink>
      <w:r w:rsidRPr="00BB4867">
        <w:rPr>
          <w:rStyle w:val="eop"/>
          <w:sz w:val="22"/>
          <w:szCs w:val="22"/>
        </w:rPr>
        <w:t> </w:t>
      </w:r>
    </w:p>
    <w:p w14:paraId="5A3502BA"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0879055C" w14:textId="753DAD79" w:rsidR="004C04AC" w:rsidRPr="00BB4867" w:rsidRDefault="004C04AC" w:rsidP="002E429A">
      <w:pPr>
        <w:pStyle w:val="paragraph"/>
        <w:spacing w:before="0" w:beforeAutospacing="0" w:after="0" w:afterAutospacing="0" w:line="360" w:lineRule="auto"/>
        <w:textAlignment w:val="baseline"/>
        <w:rPr>
          <w:sz w:val="22"/>
          <w:szCs w:val="22"/>
        </w:rPr>
      </w:pPr>
      <w:r w:rsidRPr="00BB4867">
        <w:rPr>
          <w:rStyle w:val="normaltextrun"/>
          <w:sz w:val="22"/>
          <w:szCs w:val="22"/>
        </w:rPr>
        <w:t>Fitzgerald, M., &amp; Walker, S. M. (2009). Infant pain management: a developmental neurobiological approach. </w:t>
      </w:r>
      <w:r w:rsidRPr="00BB4867">
        <w:rPr>
          <w:rStyle w:val="normaltextrun"/>
          <w:i/>
          <w:iCs/>
          <w:sz w:val="22"/>
          <w:szCs w:val="22"/>
        </w:rPr>
        <w:t>Nature Clinical Practice Neurology</w:t>
      </w:r>
      <w:r w:rsidRPr="00BB4867">
        <w:rPr>
          <w:rStyle w:val="normaltextrun"/>
          <w:sz w:val="22"/>
          <w:szCs w:val="22"/>
        </w:rPr>
        <w:t>, </w:t>
      </w:r>
      <w:r w:rsidRPr="00BB4867">
        <w:rPr>
          <w:rStyle w:val="normaltextrun"/>
          <w:i/>
          <w:iCs/>
          <w:sz w:val="22"/>
          <w:szCs w:val="22"/>
        </w:rPr>
        <w:t>5</w:t>
      </w:r>
      <w:r w:rsidRPr="00BB4867">
        <w:rPr>
          <w:rStyle w:val="normaltextrun"/>
          <w:sz w:val="22"/>
          <w:szCs w:val="22"/>
        </w:rPr>
        <w:t>(1), 35–50. </w:t>
      </w:r>
      <w:hyperlink r:id="rId17" w:tgtFrame="_blank" w:history="1">
        <w:r w:rsidRPr="00BB4867">
          <w:rPr>
            <w:rStyle w:val="normaltextrun"/>
            <w:sz w:val="22"/>
            <w:szCs w:val="22"/>
            <w:u w:val="single"/>
          </w:rPr>
          <w:t>https://doi.org/10.1038/ncpneuro0984</w:t>
        </w:r>
      </w:hyperlink>
      <w:r w:rsidRPr="00BB4867">
        <w:rPr>
          <w:rStyle w:val="eop"/>
          <w:sz w:val="22"/>
          <w:szCs w:val="22"/>
        </w:rPr>
        <w:t> </w:t>
      </w:r>
    </w:p>
    <w:p w14:paraId="7939CC05"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25CF5A1D" w14:textId="3EB67881" w:rsidR="004C04AC" w:rsidRPr="00BB4867" w:rsidRDefault="004C04AC" w:rsidP="002E429A">
      <w:pPr>
        <w:pStyle w:val="paragraph"/>
        <w:spacing w:before="0" w:beforeAutospacing="0" w:after="0" w:afterAutospacing="0" w:line="360" w:lineRule="auto"/>
        <w:textAlignment w:val="baseline"/>
        <w:rPr>
          <w:sz w:val="22"/>
          <w:szCs w:val="22"/>
        </w:rPr>
      </w:pPr>
      <w:r w:rsidRPr="00BB4867">
        <w:rPr>
          <w:rStyle w:val="normaltextrun"/>
          <w:sz w:val="22"/>
          <w:szCs w:val="22"/>
        </w:rPr>
        <w:t>Hatfield, L. (2014). Neonatal pain: What′s age got to do with it? </w:t>
      </w:r>
      <w:r w:rsidRPr="00BB4867">
        <w:rPr>
          <w:rStyle w:val="normaltextrun"/>
          <w:i/>
          <w:iCs/>
          <w:sz w:val="22"/>
          <w:szCs w:val="22"/>
        </w:rPr>
        <w:t>Surgical Neurology International</w:t>
      </w:r>
      <w:r w:rsidRPr="00BB4867">
        <w:rPr>
          <w:rStyle w:val="normaltextrun"/>
          <w:sz w:val="22"/>
          <w:szCs w:val="22"/>
        </w:rPr>
        <w:t>, </w:t>
      </w:r>
      <w:r w:rsidRPr="00BB4867">
        <w:rPr>
          <w:rStyle w:val="normaltextrun"/>
          <w:i/>
          <w:iCs/>
          <w:sz w:val="22"/>
          <w:szCs w:val="22"/>
        </w:rPr>
        <w:t>5</w:t>
      </w:r>
      <w:r w:rsidRPr="00BB4867">
        <w:rPr>
          <w:rStyle w:val="normaltextrun"/>
          <w:sz w:val="22"/>
          <w:szCs w:val="22"/>
        </w:rPr>
        <w:t>(14), 479. </w:t>
      </w:r>
      <w:hyperlink r:id="rId18" w:tgtFrame="_blank" w:history="1">
        <w:r w:rsidRPr="00BB4867">
          <w:rPr>
            <w:rStyle w:val="normaltextrun"/>
            <w:sz w:val="22"/>
            <w:szCs w:val="22"/>
            <w:u w:val="single"/>
          </w:rPr>
          <w:t>https://doi.org/10.4103/2152-7806.144630</w:t>
        </w:r>
      </w:hyperlink>
      <w:r w:rsidRPr="00BB4867">
        <w:rPr>
          <w:rStyle w:val="eop"/>
          <w:sz w:val="22"/>
          <w:szCs w:val="22"/>
        </w:rPr>
        <w:t> </w:t>
      </w:r>
    </w:p>
    <w:p w14:paraId="05B7D285"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1EC0E424" w14:textId="3954CFE2" w:rsidR="004C04AC" w:rsidRPr="00BB4867" w:rsidRDefault="004C04AC" w:rsidP="002E429A">
      <w:pPr>
        <w:pStyle w:val="paragraph"/>
        <w:spacing w:before="0" w:beforeAutospacing="0" w:after="0" w:afterAutospacing="0" w:line="360" w:lineRule="auto"/>
        <w:textAlignment w:val="baseline"/>
        <w:rPr>
          <w:sz w:val="22"/>
          <w:szCs w:val="22"/>
        </w:rPr>
      </w:pPr>
      <w:proofErr w:type="spellStart"/>
      <w:r w:rsidRPr="00BB4867">
        <w:rPr>
          <w:rStyle w:val="normaltextrun"/>
          <w:sz w:val="22"/>
          <w:szCs w:val="22"/>
        </w:rPr>
        <w:t>Kühne</w:t>
      </w:r>
      <w:proofErr w:type="spellEnd"/>
      <w:r w:rsidRPr="00BB4867">
        <w:rPr>
          <w:rStyle w:val="normaltextrun"/>
          <w:sz w:val="22"/>
          <w:szCs w:val="22"/>
        </w:rPr>
        <w:t>, B., </w:t>
      </w:r>
      <w:proofErr w:type="spellStart"/>
      <w:r w:rsidRPr="00BB4867">
        <w:rPr>
          <w:rStyle w:val="normaltextrun"/>
          <w:sz w:val="22"/>
          <w:szCs w:val="22"/>
        </w:rPr>
        <w:t>Stützer</w:t>
      </w:r>
      <w:proofErr w:type="spellEnd"/>
      <w:r w:rsidRPr="00BB4867">
        <w:rPr>
          <w:rStyle w:val="normaltextrun"/>
          <w:sz w:val="22"/>
          <w:szCs w:val="22"/>
        </w:rPr>
        <w:t>, H., Roth, B., &amp; </w:t>
      </w:r>
      <w:proofErr w:type="spellStart"/>
      <w:r w:rsidRPr="00BB4867">
        <w:rPr>
          <w:rStyle w:val="normaltextrun"/>
          <w:sz w:val="22"/>
          <w:szCs w:val="22"/>
        </w:rPr>
        <w:t>Welzing</w:t>
      </w:r>
      <w:proofErr w:type="spellEnd"/>
      <w:r w:rsidRPr="00BB4867">
        <w:rPr>
          <w:rStyle w:val="normaltextrun"/>
          <w:sz w:val="22"/>
          <w:szCs w:val="22"/>
        </w:rPr>
        <w:t>, L. (2012). The Flexion Withdrawal Reflex Reveals an Increasing Threshold during the First Year of Life and is Influenced by the Infant’s State of Consciousness. </w:t>
      </w:r>
      <w:proofErr w:type="spellStart"/>
      <w:r w:rsidRPr="00BB4867">
        <w:rPr>
          <w:rStyle w:val="normaltextrun"/>
          <w:i/>
          <w:iCs/>
          <w:sz w:val="22"/>
          <w:szCs w:val="22"/>
        </w:rPr>
        <w:t>Klinische</w:t>
      </w:r>
      <w:proofErr w:type="spellEnd"/>
      <w:r w:rsidRPr="00BB4867">
        <w:rPr>
          <w:rStyle w:val="normaltextrun"/>
          <w:i/>
          <w:iCs/>
          <w:sz w:val="22"/>
          <w:szCs w:val="22"/>
        </w:rPr>
        <w:t> </w:t>
      </w:r>
      <w:proofErr w:type="spellStart"/>
      <w:r w:rsidRPr="00BB4867">
        <w:rPr>
          <w:rStyle w:val="normaltextrun"/>
          <w:i/>
          <w:iCs/>
          <w:sz w:val="22"/>
          <w:szCs w:val="22"/>
        </w:rPr>
        <w:t>Pädiatrie</w:t>
      </w:r>
      <w:proofErr w:type="spellEnd"/>
      <w:r w:rsidRPr="00BB4867">
        <w:rPr>
          <w:rStyle w:val="normaltextrun"/>
          <w:sz w:val="22"/>
          <w:szCs w:val="22"/>
        </w:rPr>
        <w:t>, </w:t>
      </w:r>
      <w:r w:rsidRPr="00BB4867">
        <w:rPr>
          <w:rStyle w:val="normaltextrun"/>
          <w:i/>
          <w:iCs/>
          <w:sz w:val="22"/>
          <w:szCs w:val="22"/>
        </w:rPr>
        <w:t>224</w:t>
      </w:r>
      <w:r w:rsidRPr="00BB4867">
        <w:rPr>
          <w:rStyle w:val="normaltextrun"/>
          <w:sz w:val="22"/>
          <w:szCs w:val="22"/>
        </w:rPr>
        <w:t>(05), 291–295. </w:t>
      </w:r>
      <w:hyperlink r:id="rId19" w:tgtFrame="_blank" w:history="1">
        <w:r w:rsidRPr="00BB4867">
          <w:rPr>
            <w:rStyle w:val="normaltextrun"/>
            <w:sz w:val="22"/>
            <w:szCs w:val="22"/>
            <w:u w:val="single"/>
          </w:rPr>
          <w:t>https://doi.org/10.1055/s-0031-1301328</w:t>
        </w:r>
      </w:hyperlink>
      <w:r w:rsidRPr="00BB4867">
        <w:rPr>
          <w:rStyle w:val="eop"/>
          <w:sz w:val="22"/>
          <w:szCs w:val="22"/>
        </w:rPr>
        <w:t> </w:t>
      </w:r>
    </w:p>
    <w:p w14:paraId="2CD418BE"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68FD0CF5" w14:textId="7813DB61" w:rsidR="004C04AC" w:rsidRPr="00BB4867" w:rsidRDefault="004C04AC" w:rsidP="002E429A">
      <w:pPr>
        <w:pStyle w:val="paragraph"/>
        <w:spacing w:before="0" w:beforeAutospacing="0" w:after="0" w:afterAutospacing="0" w:line="360" w:lineRule="auto"/>
        <w:textAlignment w:val="baseline"/>
        <w:rPr>
          <w:sz w:val="22"/>
          <w:szCs w:val="22"/>
        </w:rPr>
      </w:pPr>
      <w:proofErr w:type="spellStart"/>
      <w:r w:rsidRPr="00BB4867">
        <w:rPr>
          <w:rStyle w:val="normaltextrun"/>
          <w:sz w:val="22"/>
          <w:szCs w:val="22"/>
        </w:rPr>
        <w:t>Sandrini</w:t>
      </w:r>
      <w:proofErr w:type="spellEnd"/>
      <w:r w:rsidRPr="00BB4867">
        <w:rPr>
          <w:rStyle w:val="normaltextrun"/>
          <w:sz w:val="22"/>
          <w:szCs w:val="22"/>
        </w:rPr>
        <w:t xml:space="preserve">, G., Serrao, M., Rossi, P., </w:t>
      </w:r>
      <w:proofErr w:type="spellStart"/>
      <w:r w:rsidRPr="00BB4867">
        <w:rPr>
          <w:rStyle w:val="normaltextrun"/>
          <w:sz w:val="22"/>
          <w:szCs w:val="22"/>
        </w:rPr>
        <w:t>Romaniello</w:t>
      </w:r>
      <w:proofErr w:type="spellEnd"/>
      <w:r w:rsidRPr="00BB4867">
        <w:rPr>
          <w:rStyle w:val="normaltextrun"/>
          <w:sz w:val="22"/>
          <w:szCs w:val="22"/>
        </w:rPr>
        <w:t>, A., </w:t>
      </w:r>
      <w:proofErr w:type="spellStart"/>
      <w:r w:rsidRPr="00BB4867">
        <w:rPr>
          <w:rStyle w:val="normaltextrun"/>
          <w:sz w:val="22"/>
          <w:szCs w:val="22"/>
        </w:rPr>
        <w:t>Cruccu</w:t>
      </w:r>
      <w:proofErr w:type="spellEnd"/>
      <w:r w:rsidRPr="00BB4867">
        <w:rPr>
          <w:rStyle w:val="normaltextrun"/>
          <w:sz w:val="22"/>
          <w:szCs w:val="22"/>
        </w:rPr>
        <w:t>, G., &amp; Willer, J. C. (2005). The lower limb flexion reflex in humans. </w:t>
      </w:r>
      <w:r w:rsidRPr="00BB4867">
        <w:rPr>
          <w:rStyle w:val="normaltextrun"/>
          <w:i/>
          <w:iCs/>
          <w:sz w:val="22"/>
          <w:szCs w:val="22"/>
        </w:rPr>
        <w:t>Progress in Neurobiology</w:t>
      </w:r>
      <w:r w:rsidRPr="00BB4867">
        <w:rPr>
          <w:rStyle w:val="normaltextrun"/>
          <w:sz w:val="22"/>
          <w:szCs w:val="22"/>
        </w:rPr>
        <w:t>, </w:t>
      </w:r>
      <w:r w:rsidRPr="00BB4867">
        <w:rPr>
          <w:rStyle w:val="normaltextrun"/>
          <w:i/>
          <w:iCs/>
          <w:sz w:val="22"/>
          <w:szCs w:val="22"/>
        </w:rPr>
        <w:t>77</w:t>
      </w:r>
      <w:r w:rsidRPr="00BB4867">
        <w:rPr>
          <w:rStyle w:val="normaltextrun"/>
          <w:sz w:val="22"/>
          <w:szCs w:val="22"/>
        </w:rPr>
        <w:t>(6), 353–395. </w:t>
      </w:r>
      <w:hyperlink r:id="rId20" w:tgtFrame="_blank" w:history="1">
        <w:r w:rsidRPr="00BB4867">
          <w:rPr>
            <w:rStyle w:val="normaltextrun"/>
            <w:sz w:val="22"/>
            <w:szCs w:val="22"/>
            <w:u w:val="single"/>
          </w:rPr>
          <w:t>https://doi.org/10.1016/j.pneurobio.2005.11.003</w:t>
        </w:r>
      </w:hyperlink>
      <w:r w:rsidRPr="00BB4867">
        <w:rPr>
          <w:rStyle w:val="eop"/>
          <w:sz w:val="22"/>
          <w:szCs w:val="22"/>
        </w:rPr>
        <w:t> </w:t>
      </w:r>
    </w:p>
    <w:p w14:paraId="48D2B208"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4EE70D53" w14:textId="5FC5F847" w:rsidR="004C04AC" w:rsidRPr="00BB4867" w:rsidRDefault="004C04AC" w:rsidP="002E429A">
      <w:pPr>
        <w:pStyle w:val="paragraph"/>
        <w:spacing w:before="0" w:beforeAutospacing="0" w:after="0" w:afterAutospacing="0" w:line="360" w:lineRule="auto"/>
        <w:textAlignment w:val="baseline"/>
        <w:rPr>
          <w:sz w:val="22"/>
          <w:szCs w:val="22"/>
        </w:rPr>
      </w:pPr>
      <w:proofErr w:type="spellStart"/>
      <w:r w:rsidRPr="00BB4867">
        <w:rPr>
          <w:rStyle w:val="normaltextrun"/>
          <w:sz w:val="22"/>
          <w:szCs w:val="22"/>
        </w:rPr>
        <w:t>Torsney</w:t>
      </w:r>
      <w:proofErr w:type="spellEnd"/>
      <w:r w:rsidRPr="00BB4867">
        <w:rPr>
          <w:rStyle w:val="normaltextrun"/>
          <w:sz w:val="22"/>
          <w:szCs w:val="22"/>
        </w:rPr>
        <w:t>, C., &amp; Fitzgerald, M. (2003). Spinal Dorsal Horn Cell Receptive Field Size is Increased in Adult Rats Following Neonatal </w:t>
      </w:r>
      <w:proofErr w:type="spellStart"/>
      <w:r w:rsidRPr="00BB4867">
        <w:rPr>
          <w:rStyle w:val="normaltextrun"/>
          <w:sz w:val="22"/>
          <w:szCs w:val="22"/>
        </w:rPr>
        <w:t>Hindpaw</w:t>
      </w:r>
      <w:proofErr w:type="spellEnd"/>
      <w:r w:rsidRPr="00BB4867">
        <w:rPr>
          <w:rStyle w:val="normaltextrun"/>
          <w:sz w:val="22"/>
          <w:szCs w:val="22"/>
        </w:rPr>
        <w:t> Skin Injury. </w:t>
      </w:r>
      <w:r w:rsidRPr="00BB4867">
        <w:rPr>
          <w:rStyle w:val="normaltextrun"/>
          <w:i/>
          <w:iCs/>
          <w:sz w:val="22"/>
          <w:szCs w:val="22"/>
        </w:rPr>
        <w:t>The Journal of Physiology</w:t>
      </w:r>
      <w:r w:rsidRPr="00BB4867">
        <w:rPr>
          <w:rStyle w:val="normaltextrun"/>
          <w:sz w:val="22"/>
          <w:szCs w:val="22"/>
        </w:rPr>
        <w:t>, </w:t>
      </w:r>
      <w:r w:rsidRPr="00BB4867">
        <w:rPr>
          <w:rStyle w:val="normaltextrun"/>
          <w:i/>
          <w:iCs/>
          <w:sz w:val="22"/>
          <w:szCs w:val="22"/>
        </w:rPr>
        <w:t>550</w:t>
      </w:r>
      <w:r w:rsidRPr="00BB4867">
        <w:rPr>
          <w:rStyle w:val="normaltextrun"/>
          <w:sz w:val="22"/>
          <w:szCs w:val="22"/>
        </w:rPr>
        <w:t>(1), 255–261. </w:t>
      </w:r>
      <w:hyperlink r:id="rId21" w:tgtFrame="_blank" w:history="1">
        <w:r w:rsidRPr="00BB4867">
          <w:rPr>
            <w:rStyle w:val="normaltextrun"/>
            <w:sz w:val="22"/>
            <w:szCs w:val="22"/>
            <w:u w:val="single"/>
          </w:rPr>
          <w:t>https://doi.org/10.1113/jphysiol.2003.043661</w:t>
        </w:r>
      </w:hyperlink>
      <w:r w:rsidRPr="00BB4867">
        <w:rPr>
          <w:rStyle w:val="eop"/>
          <w:sz w:val="22"/>
          <w:szCs w:val="22"/>
        </w:rPr>
        <w:t> </w:t>
      </w:r>
    </w:p>
    <w:p w14:paraId="0BC167A2" w14:textId="77777777" w:rsidR="004C04AC" w:rsidRPr="00BB4867" w:rsidRDefault="004C04AC" w:rsidP="002E429A">
      <w:pPr>
        <w:pStyle w:val="paragraph"/>
        <w:spacing w:before="0" w:beforeAutospacing="0" w:after="0" w:afterAutospacing="0" w:line="360" w:lineRule="auto"/>
        <w:textAlignment w:val="baseline"/>
        <w:rPr>
          <w:rStyle w:val="normaltextrun"/>
          <w:sz w:val="22"/>
          <w:szCs w:val="22"/>
        </w:rPr>
      </w:pPr>
    </w:p>
    <w:p w14:paraId="10F7041E" w14:textId="5604A882" w:rsidR="004C04AC" w:rsidRPr="00BB4867" w:rsidRDefault="004C04AC" w:rsidP="002E429A">
      <w:pPr>
        <w:pStyle w:val="paragraph"/>
        <w:spacing w:before="0" w:beforeAutospacing="0" w:after="0" w:afterAutospacing="0" w:line="360" w:lineRule="auto"/>
        <w:textAlignment w:val="baseline"/>
        <w:rPr>
          <w:sz w:val="22"/>
          <w:szCs w:val="22"/>
        </w:rPr>
      </w:pPr>
      <w:r w:rsidRPr="00BB4867">
        <w:rPr>
          <w:rStyle w:val="normaltextrun"/>
          <w:sz w:val="22"/>
          <w:szCs w:val="22"/>
        </w:rPr>
        <w:t>van den </w:t>
      </w:r>
      <w:proofErr w:type="spellStart"/>
      <w:r w:rsidRPr="00BB4867">
        <w:rPr>
          <w:rStyle w:val="normaltextrun"/>
          <w:sz w:val="22"/>
          <w:szCs w:val="22"/>
        </w:rPr>
        <w:t>Hoogen</w:t>
      </w:r>
      <w:proofErr w:type="spellEnd"/>
      <w:r w:rsidRPr="00BB4867">
        <w:rPr>
          <w:rStyle w:val="normaltextrun"/>
          <w:sz w:val="22"/>
          <w:szCs w:val="22"/>
        </w:rPr>
        <w:t>, N. J., </w:t>
      </w:r>
      <w:proofErr w:type="spellStart"/>
      <w:r w:rsidRPr="00BB4867">
        <w:rPr>
          <w:rStyle w:val="normaltextrun"/>
          <w:sz w:val="22"/>
          <w:szCs w:val="22"/>
        </w:rPr>
        <w:t>Patijn</w:t>
      </w:r>
      <w:proofErr w:type="spellEnd"/>
      <w:r w:rsidRPr="00BB4867">
        <w:rPr>
          <w:rStyle w:val="normaltextrun"/>
          <w:sz w:val="22"/>
          <w:szCs w:val="22"/>
        </w:rPr>
        <w:t>, J., </w:t>
      </w:r>
      <w:proofErr w:type="spellStart"/>
      <w:r w:rsidRPr="00BB4867">
        <w:rPr>
          <w:rStyle w:val="normaltextrun"/>
          <w:sz w:val="22"/>
          <w:szCs w:val="22"/>
        </w:rPr>
        <w:t>Tibboel</w:t>
      </w:r>
      <w:proofErr w:type="spellEnd"/>
      <w:r w:rsidRPr="00BB4867">
        <w:rPr>
          <w:rStyle w:val="normaltextrun"/>
          <w:sz w:val="22"/>
          <w:szCs w:val="22"/>
        </w:rPr>
        <w:t>, D., Joosten, B. A., Fitzgerald, M., &amp; Kwok, C. H. T. (2018). Repeated touch and needle-prick stimulation in the neonatal period increases the baseline mechanical sensitivity and postinjury hypersensitivity of adult spinal sensory neurons. </w:t>
      </w:r>
      <w:r w:rsidRPr="00BB4867">
        <w:rPr>
          <w:rStyle w:val="normaltextrun"/>
          <w:i/>
          <w:iCs/>
          <w:sz w:val="22"/>
          <w:szCs w:val="22"/>
        </w:rPr>
        <w:t>PAIN</w:t>
      </w:r>
      <w:r w:rsidRPr="00BB4867">
        <w:rPr>
          <w:rStyle w:val="normaltextrun"/>
          <w:sz w:val="22"/>
          <w:szCs w:val="22"/>
        </w:rPr>
        <w:t>, </w:t>
      </w:r>
      <w:r w:rsidRPr="00BB4867">
        <w:rPr>
          <w:rStyle w:val="normaltextrun"/>
          <w:i/>
          <w:iCs/>
          <w:sz w:val="22"/>
          <w:szCs w:val="22"/>
        </w:rPr>
        <w:t>159</w:t>
      </w:r>
      <w:r w:rsidRPr="00BB4867">
        <w:rPr>
          <w:rStyle w:val="normaltextrun"/>
          <w:sz w:val="22"/>
          <w:szCs w:val="22"/>
        </w:rPr>
        <w:t>(6), 1166–1175. </w:t>
      </w:r>
      <w:hyperlink r:id="rId22" w:tgtFrame="_blank" w:history="1">
        <w:r w:rsidRPr="00BB4867">
          <w:rPr>
            <w:rStyle w:val="normaltextrun"/>
            <w:sz w:val="22"/>
            <w:szCs w:val="22"/>
            <w:u w:val="single"/>
          </w:rPr>
          <w:t>https://doi.org/10.1097/j.pain.0000000000001201</w:t>
        </w:r>
      </w:hyperlink>
      <w:r w:rsidRPr="00BB4867">
        <w:rPr>
          <w:rStyle w:val="eop"/>
          <w:sz w:val="22"/>
          <w:szCs w:val="22"/>
        </w:rPr>
        <w:t> </w:t>
      </w:r>
    </w:p>
    <w:p w14:paraId="41B2A5A1" w14:textId="77777777" w:rsidR="00042F74" w:rsidRDefault="00042F74" w:rsidP="002E429A">
      <w:pPr>
        <w:pStyle w:val="paragraph"/>
        <w:spacing w:before="0" w:beforeAutospacing="0" w:after="0" w:afterAutospacing="0" w:line="360" w:lineRule="auto"/>
        <w:textAlignment w:val="baseline"/>
        <w:rPr>
          <w:rStyle w:val="eop"/>
          <w:sz w:val="22"/>
          <w:szCs w:val="22"/>
        </w:rPr>
      </w:pPr>
    </w:p>
    <w:p w14:paraId="6F65BA01" w14:textId="5B64B64E" w:rsidR="004C04AC" w:rsidRPr="00BB4867" w:rsidRDefault="00042F74" w:rsidP="002E429A">
      <w:pPr>
        <w:pStyle w:val="paragraph"/>
        <w:spacing w:before="0" w:beforeAutospacing="0" w:after="0" w:afterAutospacing="0" w:line="360" w:lineRule="auto"/>
        <w:textAlignment w:val="baseline"/>
        <w:rPr>
          <w:sz w:val="22"/>
          <w:szCs w:val="22"/>
        </w:rPr>
      </w:pPr>
      <w:r w:rsidRPr="00042F74">
        <w:rPr>
          <w:rStyle w:val="eop"/>
          <w:sz w:val="22"/>
          <w:szCs w:val="22"/>
        </w:rPr>
        <w:t>https://images.app.goo.gl/Vo4qnFzV2wUcXjiA6</w:t>
      </w:r>
    </w:p>
    <w:p w14:paraId="6B5DBB44" w14:textId="35E63F44" w:rsidR="008D41ED" w:rsidRDefault="008D41ED" w:rsidP="002E429A">
      <w:pPr>
        <w:spacing w:line="360" w:lineRule="auto"/>
        <w:rPr>
          <w:rFonts w:ascii="Times New Roman" w:hAnsi="Times New Roman" w:cs="Times New Roman"/>
          <w:b/>
          <w:bCs/>
        </w:rPr>
      </w:pPr>
    </w:p>
    <w:p w14:paraId="671847D3" w14:textId="659F9364" w:rsidR="008D41ED" w:rsidRPr="00BB4867" w:rsidRDefault="008D41ED" w:rsidP="002E429A">
      <w:pPr>
        <w:spacing w:line="360" w:lineRule="auto"/>
        <w:rPr>
          <w:rFonts w:ascii="Times New Roman" w:hAnsi="Times New Roman" w:cs="Times New Roman"/>
          <w:b/>
          <w:bCs/>
        </w:rPr>
      </w:pPr>
    </w:p>
    <w:sectPr w:rsidR="008D41ED" w:rsidRPr="00BB486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397B" w14:textId="77777777" w:rsidR="00F7604D" w:rsidRDefault="00F7604D" w:rsidP="004E7143">
      <w:pPr>
        <w:spacing w:after="0" w:line="240" w:lineRule="auto"/>
      </w:pPr>
      <w:r>
        <w:separator/>
      </w:r>
    </w:p>
  </w:endnote>
  <w:endnote w:type="continuationSeparator" w:id="0">
    <w:p w14:paraId="604EA1A8" w14:textId="77777777" w:rsidR="00F7604D" w:rsidRDefault="00F7604D" w:rsidP="004E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E5EF" w14:textId="77777777" w:rsidR="00F7604D" w:rsidRDefault="00F7604D" w:rsidP="004E7143">
      <w:pPr>
        <w:spacing w:after="0" w:line="240" w:lineRule="auto"/>
      </w:pPr>
      <w:r>
        <w:separator/>
      </w:r>
    </w:p>
  </w:footnote>
  <w:footnote w:type="continuationSeparator" w:id="0">
    <w:p w14:paraId="0D2F2B30" w14:textId="77777777" w:rsidR="00F7604D" w:rsidRDefault="00F7604D" w:rsidP="004E7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77E0" w14:textId="6B6398B9" w:rsidR="00933842" w:rsidRDefault="00933842">
    <w:pPr>
      <w:pStyle w:val="Header"/>
      <w:jc w:val="right"/>
    </w:pPr>
    <w:r>
      <w:t xml:space="preserve">Soto </w:t>
    </w:r>
    <w:sdt>
      <w:sdtPr>
        <w:id w:val="-1189908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5050CE" w14:textId="0DD45DA0" w:rsidR="004E7143" w:rsidRDefault="004E71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956C81"/>
    <w:rsid w:val="000341D4"/>
    <w:rsid w:val="00037EA6"/>
    <w:rsid w:val="00042F74"/>
    <w:rsid w:val="0005214B"/>
    <w:rsid w:val="00083DFD"/>
    <w:rsid w:val="00086D88"/>
    <w:rsid w:val="000B5A22"/>
    <w:rsid w:val="000E6EE1"/>
    <w:rsid w:val="00120338"/>
    <w:rsid w:val="00147284"/>
    <w:rsid w:val="001602A3"/>
    <w:rsid w:val="0016413F"/>
    <w:rsid w:val="00170755"/>
    <w:rsid w:val="001C3120"/>
    <w:rsid w:val="00257007"/>
    <w:rsid w:val="00260D4A"/>
    <w:rsid w:val="00273A18"/>
    <w:rsid w:val="00283D35"/>
    <w:rsid w:val="00297C11"/>
    <w:rsid w:val="002A40CC"/>
    <w:rsid w:val="002B15BE"/>
    <w:rsid w:val="002C0D33"/>
    <w:rsid w:val="002E0147"/>
    <w:rsid w:val="002E429A"/>
    <w:rsid w:val="002E60D3"/>
    <w:rsid w:val="00324C5B"/>
    <w:rsid w:val="003361A9"/>
    <w:rsid w:val="00342D73"/>
    <w:rsid w:val="00350E16"/>
    <w:rsid w:val="00351EC6"/>
    <w:rsid w:val="003B3498"/>
    <w:rsid w:val="003C1CDA"/>
    <w:rsid w:val="00400D11"/>
    <w:rsid w:val="00410AA6"/>
    <w:rsid w:val="0041240D"/>
    <w:rsid w:val="00424755"/>
    <w:rsid w:val="00443CD3"/>
    <w:rsid w:val="00445FDC"/>
    <w:rsid w:val="00452119"/>
    <w:rsid w:val="00461ACD"/>
    <w:rsid w:val="00480130"/>
    <w:rsid w:val="004A40D1"/>
    <w:rsid w:val="004C04AC"/>
    <w:rsid w:val="004E7143"/>
    <w:rsid w:val="004F3046"/>
    <w:rsid w:val="00500FA7"/>
    <w:rsid w:val="0051064D"/>
    <w:rsid w:val="00511531"/>
    <w:rsid w:val="00534C3C"/>
    <w:rsid w:val="00552A3E"/>
    <w:rsid w:val="00572E47"/>
    <w:rsid w:val="00591E4F"/>
    <w:rsid w:val="005B1261"/>
    <w:rsid w:val="005C6593"/>
    <w:rsid w:val="005E6381"/>
    <w:rsid w:val="005E6875"/>
    <w:rsid w:val="00616035"/>
    <w:rsid w:val="0064087B"/>
    <w:rsid w:val="00655FD3"/>
    <w:rsid w:val="0066121C"/>
    <w:rsid w:val="006841CC"/>
    <w:rsid w:val="00694940"/>
    <w:rsid w:val="006B0771"/>
    <w:rsid w:val="006C404D"/>
    <w:rsid w:val="006D28C9"/>
    <w:rsid w:val="006D7881"/>
    <w:rsid w:val="0074710E"/>
    <w:rsid w:val="00772AE0"/>
    <w:rsid w:val="00785624"/>
    <w:rsid w:val="007B0288"/>
    <w:rsid w:val="007E0DD6"/>
    <w:rsid w:val="007E30D9"/>
    <w:rsid w:val="007F5706"/>
    <w:rsid w:val="00817DE5"/>
    <w:rsid w:val="008212E2"/>
    <w:rsid w:val="0083171E"/>
    <w:rsid w:val="00837692"/>
    <w:rsid w:val="008407F9"/>
    <w:rsid w:val="00866FBF"/>
    <w:rsid w:val="0089425B"/>
    <w:rsid w:val="008B0C51"/>
    <w:rsid w:val="008B7ED5"/>
    <w:rsid w:val="008D41ED"/>
    <w:rsid w:val="009014A1"/>
    <w:rsid w:val="00907F8F"/>
    <w:rsid w:val="00916199"/>
    <w:rsid w:val="0092369C"/>
    <w:rsid w:val="00933842"/>
    <w:rsid w:val="00970771"/>
    <w:rsid w:val="00974C2C"/>
    <w:rsid w:val="00981811"/>
    <w:rsid w:val="009C2495"/>
    <w:rsid w:val="009E2C23"/>
    <w:rsid w:val="00A10987"/>
    <w:rsid w:val="00A30C49"/>
    <w:rsid w:val="00A60F38"/>
    <w:rsid w:val="00A64845"/>
    <w:rsid w:val="00A742AF"/>
    <w:rsid w:val="00A76D7B"/>
    <w:rsid w:val="00A84A49"/>
    <w:rsid w:val="00A97062"/>
    <w:rsid w:val="00AA450E"/>
    <w:rsid w:val="00AC5675"/>
    <w:rsid w:val="00AC5D10"/>
    <w:rsid w:val="00AE446F"/>
    <w:rsid w:val="00B03999"/>
    <w:rsid w:val="00B34A62"/>
    <w:rsid w:val="00B4338F"/>
    <w:rsid w:val="00B722BE"/>
    <w:rsid w:val="00B9088E"/>
    <w:rsid w:val="00BB4867"/>
    <w:rsid w:val="00BB4FD7"/>
    <w:rsid w:val="00BE0313"/>
    <w:rsid w:val="00BE0338"/>
    <w:rsid w:val="00BE0746"/>
    <w:rsid w:val="00BE185F"/>
    <w:rsid w:val="00C135CE"/>
    <w:rsid w:val="00C16AC1"/>
    <w:rsid w:val="00C203FA"/>
    <w:rsid w:val="00C43FED"/>
    <w:rsid w:val="00C440C6"/>
    <w:rsid w:val="00C4463C"/>
    <w:rsid w:val="00C45414"/>
    <w:rsid w:val="00C61F04"/>
    <w:rsid w:val="00C86764"/>
    <w:rsid w:val="00CC6795"/>
    <w:rsid w:val="00CF2A7D"/>
    <w:rsid w:val="00D07A83"/>
    <w:rsid w:val="00D55966"/>
    <w:rsid w:val="00D63FB7"/>
    <w:rsid w:val="00D66A18"/>
    <w:rsid w:val="00DD4E4F"/>
    <w:rsid w:val="00E332C9"/>
    <w:rsid w:val="00E36758"/>
    <w:rsid w:val="00E43FD8"/>
    <w:rsid w:val="00E55478"/>
    <w:rsid w:val="00E63954"/>
    <w:rsid w:val="00ED5356"/>
    <w:rsid w:val="00EE4CB8"/>
    <w:rsid w:val="00EE5353"/>
    <w:rsid w:val="00EF5489"/>
    <w:rsid w:val="00F005F3"/>
    <w:rsid w:val="00F05D37"/>
    <w:rsid w:val="00F05E77"/>
    <w:rsid w:val="00F14108"/>
    <w:rsid w:val="00F3156B"/>
    <w:rsid w:val="00F422BD"/>
    <w:rsid w:val="00F62F9F"/>
    <w:rsid w:val="00F7604D"/>
    <w:rsid w:val="01D72B7D"/>
    <w:rsid w:val="01E13D8B"/>
    <w:rsid w:val="023A967F"/>
    <w:rsid w:val="026F5FB9"/>
    <w:rsid w:val="0280B3AA"/>
    <w:rsid w:val="02A4B79C"/>
    <w:rsid w:val="03023BAF"/>
    <w:rsid w:val="034A83C4"/>
    <w:rsid w:val="0357A16A"/>
    <w:rsid w:val="03BCAB94"/>
    <w:rsid w:val="04076371"/>
    <w:rsid w:val="043581C8"/>
    <w:rsid w:val="058A35A4"/>
    <w:rsid w:val="0639DC71"/>
    <w:rsid w:val="065A74B5"/>
    <w:rsid w:val="069FDD1B"/>
    <w:rsid w:val="073F0433"/>
    <w:rsid w:val="0825D7B7"/>
    <w:rsid w:val="08819AE6"/>
    <w:rsid w:val="08D5F61D"/>
    <w:rsid w:val="08F501B2"/>
    <w:rsid w:val="09A10A6B"/>
    <w:rsid w:val="09AD81A4"/>
    <w:rsid w:val="09C1A818"/>
    <w:rsid w:val="0A483797"/>
    <w:rsid w:val="0A767AFD"/>
    <w:rsid w:val="0B65DD3A"/>
    <w:rsid w:val="0C127556"/>
    <w:rsid w:val="0C21A39C"/>
    <w:rsid w:val="0C3BE608"/>
    <w:rsid w:val="0C98F06E"/>
    <w:rsid w:val="0CC24652"/>
    <w:rsid w:val="0CED34A2"/>
    <w:rsid w:val="0E17B325"/>
    <w:rsid w:val="0E44EE56"/>
    <w:rsid w:val="0EC5E7B1"/>
    <w:rsid w:val="0F5B4DEF"/>
    <w:rsid w:val="0FD74B73"/>
    <w:rsid w:val="0FFCDAD8"/>
    <w:rsid w:val="1037E21D"/>
    <w:rsid w:val="1061B812"/>
    <w:rsid w:val="107B865C"/>
    <w:rsid w:val="116869B7"/>
    <w:rsid w:val="11C0A5C5"/>
    <w:rsid w:val="1215646F"/>
    <w:rsid w:val="1220BC3A"/>
    <w:rsid w:val="12306FAA"/>
    <w:rsid w:val="124BC466"/>
    <w:rsid w:val="128B5D77"/>
    <w:rsid w:val="12AC7B32"/>
    <w:rsid w:val="12EC02ED"/>
    <w:rsid w:val="13D79AC0"/>
    <w:rsid w:val="141D873B"/>
    <w:rsid w:val="144A76A2"/>
    <w:rsid w:val="14AE2499"/>
    <w:rsid w:val="14F821D1"/>
    <w:rsid w:val="1530C87F"/>
    <w:rsid w:val="15AB7DB5"/>
    <w:rsid w:val="15B30A11"/>
    <w:rsid w:val="15B9579C"/>
    <w:rsid w:val="1650003B"/>
    <w:rsid w:val="168DD05D"/>
    <w:rsid w:val="169416E8"/>
    <w:rsid w:val="17053AD8"/>
    <w:rsid w:val="171011FD"/>
    <w:rsid w:val="17281825"/>
    <w:rsid w:val="17796090"/>
    <w:rsid w:val="1799B745"/>
    <w:rsid w:val="17A04DE8"/>
    <w:rsid w:val="17AD1670"/>
    <w:rsid w:val="17BBFF80"/>
    <w:rsid w:val="180AC5A3"/>
    <w:rsid w:val="182E28A8"/>
    <w:rsid w:val="182FE749"/>
    <w:rsid w:val="18E90C5D"/>
    <w:rsid w:val="1956CE64"/>
    <w:rsid w:val="19B6AFCF"/>
    <w:rsid w:val="19E4EEA7"/>
    <w:rsid w:val="1A089A58"/>
    <w:rsid w:val="1BA82978"/>
    <w:rsid w:val="1BBE2993"/>
    <w:rsid w:val="1C07B86B"/>
    <w:rsid w:val="1C0EFE01"/>
    <w:rsid w:val="1DA631E8"/>
    <w:rsid w:val="1DF5C7B9"/>
    <w:rsid w:val="1FF35AAD"/>
    <w:rsid w:val="220C8900"/>
    <w:rsid w:val="220EBFDC"/>
    <w:rsid w:val="22F95258"/>
    <w:rsid w:val="22FDDEE4"/>
    <w:rsid w:val="231CED20"/>
    <w:rsid w:val="23340B60"/>
    <w:rsid w:val="236364F3"/>
    <w:rsid w:val="248A37B7"/>
    <w:rsid w:val="24CC35E9"/>
    <w:rsid w:val="25ED364F"/>
    <w:rsid w:val="2759E6F8"/>
    <w:rsid w:val="2822C8A8"/>
    <w:rsid w:val="28A7A6F8"/>
    <w:rsid w:val="28CD9142"/>
    <w:rsid w:val="29E55ACA"/>
    <w:rsid w:val="2AC52865"/>
    <w:rsid w:val="2B00FD88"/>
    <w:rsid w:val="2B7D871F"/>
    <w:rsid w:val="2C15DBDE"/>
    <w:rsid w:val="2C434F76"/>
    <w:rsid w:val="2C628750"/>
    <w:rsid w:val="2CF629FC"/>
    <w:rsid w:val="2D689BD5"/>
    <w:rsid w:val="2D82C4EE"/>
    <w:rsid w:val="2DA10265"/>
    <w:rsid w:val="2DB0001F"/>
    <w:rsid w:val="2E8C18D6"/>
    <w:rsid w:val="2E9B8CC2"/>
    <w:rsid w:val="2EBD92D5"/>
    <w:rsid w:val="2F53BE06"/>
    <w:rsid w:val="2F5FC181"/>
    <w:rsid w:val="2F72260C"/>
    <w:rsid w:val="2FA8EAD4"/>
    <w:rsid w:val="3011B160"/>
    <w:rsid w:val="3087DB88"/>
    <w:rsid w:val="309515C8"/>
    <w:rsid w:val="3158E1A9"/>
    <w:rsid w:val="318F62B1"/>
    <w:rsid w:val="31E2CE8C"/>
    <w:rsid w:val="32563611"/>
    <w:rsid w:val="32814149"/>
    <w:rsid w:val="32D02670"/>
    <w:rsid w:val="3333FEB0"/>
    <w:rsid w:val="33B59F5F"/>
    <w:rsid w:val="34D0E8B7"/>
    <w:rsid w:val="35001346"/>
    <w:rsid w:val="36E7A59D"/>
    <w:rsid w:val="3710D50F"/>
    <w:rsid w:val="3756999B"/>
    <w:rsid w:val="37C32AFF"/>
    <w:rsid w:val="3819D2BF"/>
    <w:rsid w:val="383C91AA"/>
    <w:rsid w:val="388D685F"/>
    <w:rsid w:val="38FAA04C"/>
    <w:rsid w:val="391DA116"/>
    <w:rsid w:val="394ACB31"/>
    <w:rsid w:val="3963F38E"/>
    <w:rsid w:val="3971AC0C"/>
    <w:rsid w:val="399372DB"/>
    <w:rsid w:val="39C355B4"/>
    <w:rsid w:val="39E06A78"/>
    <w:rsid w:val="3A4875D1"/>
    <w:rsid w:val="3A9670AD"/>
    <w:rsid w:val="3B9D89B2"/>
    <w:rsid w:val="3BD3C8ED"/>
    <w:rsid w:val="3CD3B9AF"/>
    <w:rsid w:val="3D4D3633"/>
    <w:rsid w:val="3E1E3C54"/>
    <w:rsid w:val="3E5E0F4D"/>
    <w:rsid w:val="3E67063C"/>
    <w:rsid w:val="3E8D01E3"/>
    <w:rsid w:val="3EE47108"/>
    <w:rsid w:val="3F81E584"/>
    <w:rsid w:val="3FE0753D"/>
    <w:rsid w:val="401F1C6D"/>
    <w:rsid w:val="4105B231"/>
    <w:rsid w:val="410F3366"/>
    <w:rsid w:val="4141B6A2"/>
    <w:rsid w:val="4186AB8C"/>
    <w:rsid w:val="41BBB7CB"/>
    <w:rsid w:val="41C0B505"/>
    <w:rsid w:val="42715509"/>
    <w:rsid w:val="43139F3E"/>
    <w:rsid w:val="43227BED"/>
    <w:rsid w:val="435C8566"/>
    <w:rsid w:val="439CB03D"/>
    <w:rsid w:val="43A5D5B0"/>
    <w:rsid w:val="443747B2"/>
    <w:rsid w:val="44BE4C4E"/>
    <w:rsid w:val="45F8CB9D"/>
    <w:rsid w:val="471CE959"/>
    <w:rsid w:val="475CEA24"/>
    <w:rsid w:val="47AAB239"/>
    <w:rsid w:val="47C51FAE"/>
    <w:rsid w:val="480FABEA"/>
    <w:rsid w:val="4817CFA9"/>
    <w:rsid w:val="48FD33DE"/>
    <w:rsid w:val="499B860F"/>
    <w:rsid w:val="49FADD08"/>
    <w:rsid w:val="4A8A365A"/>
    <w:rsid w:val="4A8D60D9"/>
    <w:rsid w:val="4B3F0976"/>
    <w:rsid w:val="4B7C21B9"/>
    <w:rsid w:val="4BC3337E"/>
    <w:rsid w:val="4BEEC5A2"/>
    <w:rsid w:val="4C02014A"/>
    <w:rsid w:val="4CE31D0D"/>
    <w:rsid w:val="4D416774"/>
    <w:rsid w:val="4D837FBD"/>
    <w:rsid w:val="4E273C53"/>
    <w:rsid w:val="4E7EED6E"/>
    <w:rsid w:val="4EC689A6"/>
    <w:rsid w:val="4EF46D31"/>
    <w:rsid w:val="4FDB75DD"/>
    <w:rsid w:val="502A8C93"/>
    <w:rsid w:val="505AA030"/>
    <w:rsid w:val="50CFE608"/>
    <w:rsid w:val="510459BE"/>
    <w:rsid w:val="5146759D"/>
    <w:rsid w:val="5222377E"/>
    <w:rsid w:val="527C7FF1"/>
    <w:rsid w:val="53C160AA"/>
    <w:rsid w:val="54E0A36F"/>
    <w:rsid w:val="558024C3"/>
    <w:rsid w:val="5582DAE5"/>
    <w:rsid w:val="5680AA32"/>
    <w:rsid w:val="569CADE2"/>
    <w:rsid w:val="56B0B957"/>
    <w:rsid w:val="57A8DA99"/>
    <w:rsid w:val="57C50F5F"/>
    <w:rsid w:val="57E8EB2B"/>
    <w:rsid w:val="58A50650"/>
    <w:rsid w:val="58B5DCFA"/>
    <w:rsid w:val="58B65A41"/>
    <w:rsid w:val="58CD0563"/>
    <w:rsid w:val="59E85A19"/>
    <w:rsid w:val="5A51AD5B"/>
    <w:rsid w:val="5A956C81"/>
    <w:rsid w:val="5AE7DF17"/>
    <w:rsid w:val="5C431AEE"/>
    <w:rsid w:val="5C528D74"/>
    <w:rsid w:val="5C6333B7"/>
    <w:rsid w:val="5C7B9C78"/>
    <w:rsid w:val="5CE709E1"/>
    <w:rsid w:val="5CEDA084"/>
    <w:rsid w:val="5CF8A908"/>
    <w:rsid w:val="5D0E9C11"/>
    <w:rsid w:val="5DE91E2C"/>
    <w:rsid w:val="5E54C16B"/>
    <w:rsid w:val="5F251E7E"/>
    <w:rsid w:val="5F277FF8"/>
    <w:rsid w:val="5F2D0C04"/>
    <w:rsid w:val="5F30F40E"/>
    <w:rsid w:val="5FB10C50"/>
    <w:rsid w:val="6086C4E6"/>
    <w:rsid w:val="6089B986"/>
    <w:rsid w:val="609BB24A"/>
    <w:rsid w:val="60C8DC65"/>
    <w:rsid w:val="61347350"/>
    <w:rsid w:val="615C509D"/>
    <w:rsid w:val="620C4B91"/>
    <w:rsid w:val="6255817C"/>
    <w:rsid w:val="62710C9B"/>
    <w:rsid w:val="62A8A69B"/>
    <w:rsid w:val="6362012E"/>
    <w:rsid w:val="6369DAAA"/>
    <w:rsid w:val="63BAD042"/>
    <w:rsid w:val="63DFDF7A"/>
    <w:rsid w:val="641035BA"/>
    <w:rsid w:val="65572A83"/>
    <w:rsid w:val="656F236D"/>
    <w:rsid w:val="665C010F"/>
    <w:rsid w:val="666717C8"/>
    <w:rsid w:val="66C166C5"/>
    <w:rsid w:val="66CECAA7"/>
    <w:rsid w:val="66DFBCB4"/>
    <w:rsid w:val="66ED5B4A"/>
    <w:rsid w:val="670F2F4F"/>
    <w:rsid w:val="681EFB28"/>
    <w:rsid w:val="68327FF9"/>
    <w:rsid w:val="68357251"/>
    <w:rsid w:val="686CB660"/>
    <w:rsid w:val="68D3EE4A"/>
    <w:rsid w:val="6A0391EE"/>
    <w:rsid w:val="6B191835"/>
    <w:rsid w:val="6B4FC5ED"/>
    <w:rsid w:val="6B73091F"/>
    <w:rsid w:val="6CC02F20"/>
    <w:rsid w:val="6D17D22B"/>
    <w:rsid w:val="6D7A109C"/>
    <w:rsid w:val="6DD71F99"/>
    <w:rsid w:val="6DF9743D"/>
    <w:rsid w:val="6E1C20E8"/>
    <w:rsid w:val="6F23BFD0"/>
    <w:rsid w:val="6FA19243"/>
    <w:rsid w:val="6FC9D1E8"/>
    <w:rsid w:val="6FF4D1B1"/>
    <w:rsid w:val="7073D7BB"/>
    <w:rsid w:val="719C1F82"/>
    <w:rsid w:val="71DDD00F"/>
    <w:rsid w:val="7232FC69"/>
    <w:rsid w:val="7253C917"/>
    <w:rsid w:val="725CB005"/>
    <w:rsid w:val="7286D997"/>
    <w:rsid w:val="72939983"/>
    <w:rsid w:val="72BB36DC"/>
    <w:rsid w:val="72E0B8BD"/>
    <w:rsid w:val="735996C2"/>
    <w:rsid w:val="73F88066"/>
    <w:rsid w:val="7452551F"/>
    <w:rsid w:val="74546C9B"/>
    <w:rsid w:val="74600AA1"/>
    <w:rsid w:val="75209DA4"/>
    <w:rsid w:val="754312CF"/>
    <w:rsid w:val="75852281"/>
    <w:rsid w:val="76369F9D"/>
    <w:rsid w:val="765FE1CD"/>
    <w:rsid w:val="772172B3"/>
    <w:rsid w:val="77A388AD"/>
    <w:rsid w:val="7804F089"/>
    <w:rsid w:val="7817864C"/>
    <w:rsid w:val="78446673"/>
    <w:rsid w:val="788E2736"/>
    <w:rsid w:val="78BCC343"/>
    <w:rsid w:val="795293B7"/>
    <w:rsid w:val="795C96F1"/>
    <w:rsid w:val="799BB3F7"/>
    <w:rsid w:val="79F579D0"/>
    <w:rsid w:val="7A069CC4"/>
    <w:rsid w:val="7A0DA580"/>
    <w:rsid w:val="7A60812A"/>
    <w:rsid w:val="7ABB02FF"/>
    <w:rsid w:val="7B3352F0"/>
    <w:rsid w:val="7B607D0B"/>
    <w:rsid w:val="7C7C0EEA"/>
    <w:rsid w:val="7CC3DD4A"/>
    <w:rsid w:val="7CCEFE9B"/>
    <w:rsid w:val="7D9821EC"/>
    <w:rsid w:val="7DC02440"/>
    <w:rsid w:val="7EC19B23"/>
    <w:rsid w:val="7F33F24D"/>
    <w:rsid w:val="7F351966"/>
    <w:rsid w:val="7F70F9B1"/>
    <w:rsid w:val="7F7C0B29"/>
    <w:rsid w:val="7F95C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6C81"/>
  <w15:chartTrackingRefBased/>
  <w15:docId w15:val="{55435039-D8E5-4B0B-AEAB-DD63C3AF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0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04AC"/>
  </w:style>
  <w:style w:type="character" w:customStyle="1" w:styleId="eop">
    <w:name w:val="eop"/>
    <w:basedOn w:val="DefaultParagraphFont"/>
    <w:rsid w:val="004C04AC"/>
  </w:style>
  <w:style w:type="paragraph" w:styleId="Header">
    <w:name w:val="header"/>
    <w:basedOn w:val="Normal"/>
    <w:link w:val="HeaderChar"/>
    <w:uiPriority w:val="99"/>
    <w:unhideWhenUsed/>
    <w:rsid w:val="004E7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143"/>
  </w:style>
  <w:style w:type="paragraph" w:styleId="Footer">
    <w:name w:val="footer"/>
    <w:basedOn w:val="Normal"/>
    <w:link w:val="FooterChar"/>
    <w:uiPriority w:val="99"/>
    <w:unhideWhenUsed/>
    <w:rsid w:val="004E7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143"/>
  </w:style>
  <w:style w:type="character" w:styleId="CommentReference">
    <w:name w:val="annotation reference"/>
    <w:basedOn w:val="DefaultParagraphFont"/>
    <w:uiPriority w:val="99"/>
    <w:semiHidden/>
    <w:unhideWhenUsed/>
    <w:rsid w:val="00C440C6"/>
    <w:rPr>
      <w:sz w:val="16"/>
      <w:szCs w:val="16"/>
    </w:rPr>
  </w:style>
  <w:style w:type="paragraph" w:styleId="CommentText">
    <w:name w:val="annotation text"/>
    <w:basedOn w:val="Normal"/>
    <w:link w:val="CommentTextChar"/>
    <w:uiPriority w:val="99"/>
    <w:semiHidden/>
    <w:unhideWhenUsed/>
    <w:rsid w:val="00C440C6"/>
    <w:pPr>
      <w:spacing w:line="240" w:lineRule="auto"/>
    </w:pPr>
    <w:rPr>
      <w:sz w:val="20"/>
      <w:szCs w:val="20"/>
    </w:rPr>
  </w:style>
  <w:style w:type="character" w:customStyle="1" w:styleId="CommentTextChar">
    <w:name w:val="Comment Text Char"/>
    <w:basedOn w:val="DefaultParagraphFont"/>
    <w:link w:val="CommentText"/>
    <w:uiPriority w:val="99"/>
    <w:semiHidden/>
    <w:rsid w:val="00C440C6"/>
    <w:rPr>
      <w:sz w:val="20"/>
      <w:szCs w:val="20"/>
    </w:rPr>
  </w:style>
  <w:style w:type="paragraph" w:styleId="CommentSubject">
    <w:name w:val="annotation subject"/>
    <w:basedOn w:val="CommentText"/>
    <w:next w:val="CommentText"/>
    <w:link w:val="CommentSubjectChar"/>
    <w:uiPriority w:val="99"/>
    <w:semiHidden/>
    <w:unhideWhenUsed/>
    <w:rsid w:val="00C440C6"/>
    <w:rPr>
      <w:b/>
      <w:bCs/>
    </w:rPr>
  </w:style>
  <w:style w:type="character" w:customStyle="1" w:styleId="CommentSubjectChar">
    <w:name w:val="Comment Subject Char"/>
    <w:basedOn w:val="CommentTextChar"/>
    <w:link w:val="CommentSubject"/>
    <w:uiPriority w:val="99"/>
    <w:semiHidden/>
    <w:rsid w:val="00C440C6"/>
    <w:rPr>
      <w:b/>
      <w:bCs/>
      <w:sz w:val="20"/>
      <w:szCs w:val="20"/>
    </w:rPr>
  </w:style>
  <w:style w:type="paragraph" w:styleId="FootnoteText">
    <w:name w:val="footnote text"/>
    <w:basedOn w:val="Normal"/>
    <w:link w:val="FootnoteTextChar"/>
    <w:uiPriority w:val="99"/>
    <w:semiHidden/>
    <w:unhideWhenUsed/>
    <w:rsid w:val="00C44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0C6"/>
    <w:rPr>
      <w:sz w:val="20"/>
      <w:szCs w:val="20"/>
    </w:rPr>
  </w:style>
  <w:style w:type="character" w:styleId="FootnoteReference">
    <w:name w:val="footnote reference"/>
    <w:basedOn w:val="DefaultParagraphFont"/>
    <w:uiPriority w:val="99"/>
    <w:semiHidden/>
    <w:unhideWhenUsed/>
    <w:rsid w:val="00C440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605">
      <w:bodyDiv w:val="1"/>
      <w:marLeft w:val="0"/>
      <w:marRight w:val="0"/>
      <w:marTop w:val="0"/>
      <w:marBottom w:val="0"/>
      <w:divBdr>
        <w:top w:val="none" w:sz="0" w:space="0" w:color="auto"/>
        <w:left w:val="none" w:sz="0" w:space="0" w:color="auto"/>
        <w:bottom w:val="none" w:sz="0" w:space="0" w:color="auto"/>
        <w:right w:val="none" w:sz="0" w:space="0" w:color="auto"/>
      </w:divBdr>
    </w:div>
    <w:div w:id="122504730">
      <w:bodyDiv w:val="1"/>
      <w:marLeft w:val="0"/>
      <w:marRight w:val="0"/>
      <w:marTop w:val="0"/>
      <w:marBottom w:val="0"/>
      <w:divBdr>
        <w:top w:val="none" w:sz="0" w:space="0" w:color="auto"/>
        <w:left w:val="none" w:sz="0" w:space="0" w:color="auto"/>
        <w:bottom w:val="none" w:sz="0" w:space="0" w:color="auto"/>
        <w:right w:val="none" w:sz="0" w:space="0" w:color="auto"/>
      </w:divBdr>
    </w:div>
    <w:div w:id="200753252">
      <w:bodyDiv w:val="1"/>
      <w:marLeft w:val="0"/>
      <w:marRight w:val="0"/>
      <w:marTop w:val="0"/>
      <w:marBottom w:val="0"/>
      <w:divBdr>
        <w:top w:val="none" w:sz="0" w:space="0" w:color="auto"/>
        <w:left w:val="none" w:sz="0" w:space="0" w:color="auto"/>
        <w:bottom w:val="none" w:sz="0" w:space="0" w:color="auto"/>
        <w:right w:val="none" w:sz="0" w:space="0" w:color="auto"/>
      </w:divBdr>
      <w:divsChild>
        <w:div w:id="1900356749">
          <w:marLeft w:val="0"/>
          <w:marRight w:val="0"/>
          <w:marTop w:val="0"/>
          <w:marBottom w:val="0"/>
          <w:divBdr>
            <w:top w:val="none" w:sz="0" w:space="0" w:color="auto"/>
            <w:left w:val="none" w:sz="0" w:space="0" w:color="auto"/>
            <w:bottom w:val="none" w:sz="0" w:space="0" w:color="auto"/>
            <w:right w:val="none" w:sz="0" w:space="0" w:color="auto"/>
          </w:divBdr>
        </w:div>
        <w:div w:id="991300084">
          <w:marLeft w:val="0"/>
          <w:marRight w:val="0"/>
          <w:marTop w:val="0"/>
          <w:marBottom w:val="0"/>
          <w:divBdr>
            <w:top w:val="none" w:sz="0" w:space="0" w:color="auto"/>
            <w:left w:val="none" w:sz="0" w:space="0" w:color="auto"/>
            <w:bottom w:val="none" w:sz="0" w:space="0" w:color="auto"/>
            <w:right w:val="none" w:sz="0" w:space="0" w:color="auto"/>
          </w:divBdr>
        </w:div>
        <w:div w:id="1617718319">
          <w:marLeft w:val="0"/>
          <w:marRight w:val="0"/>
          <w:marTop w:val="0"/>
          <w:marBottom w:val="0"/>
          <w:divBdr>
            <w:top w:val="none" w:sz="0" w:space="0" w:color="auto"/>
            <w:left w:val="none" w:sz="0" w:space="0" w:color="auto"/>
            <w:bottom w:val="none" w:sz="0" w:space="0" w:color="auto"/>
            <w:right w:val="none" w:sz="0" w:space="0" w:color="auto"/>
          </w:divBdr>
        </w:div>
        <w:div w:id="2076395439">
          <w:marLeft w:val="0"/>
          <w:marRight w:val="0"/>
          <w:marTop w:val="0"/>
          <w:marBottom w:val="0"/>
          <w:divBdr>
            <w:top w:val="none" w:sz="0" w:space="0" w:color="auto"/>
            <w:left w:val="none" w:sz="0" w:space="0" w:color="auto"/>
            <w:bottom w:val="none" w:sz="0" w:space="0" w:color="auto"/>
            <w:right w:val="none" w:sz="0" w:space="0" w:color="auto"/>
          </w:divBdr>
        </w:div>
        <w:div w:id="408816924">
          <w:marLeft w:val="0"/>
          <w:marRight w:val="0"/>
          <w:marTop w:val="0"/>
          <w:marBottom w:val="0"/>
          <w:divBdr>
            <w:top w:val="none" w:sz="0" w:space="0" w:color="auto"/>
            <w:left w:val="none" w:sz="0" w:space="0" w:color="auto"/>
            <w:bottom w:val="none" w:sz="0" w:space="0" w:color="auto"/>
            <w:right w:val="none" w:sz="0" w:space="0" w:color="auto"/>
          </w:divBdr>
        </w:div>
        <w:div w:id="37822404">
          <w:marLeft w:val="0"/>
          <w:marRight w:val="0"/>
          <w:marTop w:val="0"/>
          <w:marBottom w:val="0"/>
          <w:divBdr>
            <w:top w:val="none" w:sz="0" w:space="0" w:color="auto"/>
            <w:left w:val="none" w:sz="0" w:space="0" w:color="auto"/>
            <w:bottom w:val="none" w:sz="0" w:space="0" w:color="auto"/>
            <w:right w:val="none" w:sz="0" w:space="0" w:color="auto"/>
          </w:divBdr>
        </w:div>
        <w:div w:id="631641364">
          <w:marLeft w:val="0"/>
          <w:marRight w:val="0"/>
          <w:marTop w:val="0"/>
          <w:marBottom w:val="0"/>
          <w:divBdr>
            <w:top w:val="none" w:sz="0" w:space="0" w:color="auto"/>
            <w:left w:val="none" w:sz="0" w:space="0" w:color="auto"/>
            <w:bottom w:val="none" w:sz="0" w:space="0" w:color="auto"/>
            <w:right w:val="none" w:sz="0" w:space="0" w:color="auto"/>
          </w:divBdr>
        </w:div>
        <w:div w:id="712192162">
          <w:marLeft w:val="0"/>
          <w:marRight w:val="0"/>
          <w:marTop w:val="0"/>
          <w:marBottom w:val="0"/>
          <w:divBdr>
            <w:top w:val="none" w:sz="0" w:space="0" w:color="auto"/>
            <w:left w:val="none" w:sz="0" w:space="0" w:color="auto"/>
            <w:bottom w:val="none" w:sz="0" w:space="0" w:color="auto"/>
            <w:right w:val="none" w:sz="0" w:space="0" w:color="auto"/>
          </w:divBdr>
        </w:div>
        <w:div w:id="1222598674">
          <w:marLeft w:val="0"/>
          <w:marRight w:val="0"/>
          <w:marTop w:val="0"/>
          <w:marBottom w:val="0"/>
          <w:divBdr>
            <w:top w:val="none" w:sz="0" w:space="0" w:color="auto"/>
            <w:left w:val="none" w:sz="0" w:space="0" w:color="auto"/>
            <w:bottom w:val="none" w:sz="0" w:space="0" w:color="auto"/>
            <w:right w:val="none" w:sz="0" w:space="0" w:color="auto"/>
          </w:divBdr>
        </w:div>
        <w:div w:id="757868157">
          <w:marLeft w:val="0"/>
          <w:marRight w:val="0"/>
          <w:marTop w:val="0"/>
          <w:marBottom w:val="0"/>
          <w:divBdr>
            <w:top w:val="none" w:sz="0" w:space="0" w:color="auto"/>
            <w:left w:val="none" w:sz="0" w:space="0" w:color="auto"/>
            <w:bottom w:val="none" w:sz="0" w:space="0" w:color="auto"/>
            <w:right w:val="none" w:sz="0" w:space="0" w:color="auto"/>
          </w:divBdr>
        </w:div>
        <w:div w:id="598299598">
          <w:marLeft w:val="0"/>
          <w:marRight w:val="0"/>
          <w:marTop w:val="0"/>
          <w:marBottom w:val="0"/>
          <w:divBdr>
            <w:top w:val="none" w:sz="0" w:space="0" w:color="auto"/>
            <w:left w:val="none" w:sz="0" w:space="0" w:color="auto"/>
            <w:bottom w:val="none" w:sz="0" w:space="0" w:color="auto"/>
            <w:right w:val="none" w:sz="0" w:space="0" w:color="auto"/>
          </w:divBdr>
        </w:div>
        <w:div w:id="539627818">
          <w:marLeft w:val="0"/>
          <w:marRight w:val="0"/>
          <w:marTop w:val="0"/>
          <w:marBottom w:val="0"/>
          <w:divBdr>
            <w:top w:val="none" w:sz="0" w:space="0" w:color="auto"/>
            <w:left w:val="none" w:sz="0" w:space="0" w:color="auto"/>
            <w:bottom w:val="none" w:sz="0" w:space="0" w:color="auto"/>
            <w:right w:val="none" w:sz="0" w:space="0" w:color="auto"/>
          </w:divBdr>
        </w:div>
      </w:divsChild>
    </w:div>
    <w:div w:id="1431201956">
      <w:bodyDiv w:val="1"/>
      <w:marLeft w:val="0"/>
      <w:marRight w:val="0"/>
      <w:marTop w:val="0"/>
      <w:marBottom w:val="0"/>
      <w:divBdr>
        <w:top w:val="none" w:sz="0" w:space="0" w:color="auto"/>
        <w:left w:val="none" w:sz="0" w:space="0" w:color="auto"/>
        <w:bottom w:val="none" w:sz="0" w:space="0" w:color="auto"/>
        <w:right w:val="none" w:sz="0" w:space="0" w:color="auto"/>
      </w:divBdr>
      <w:divsChild>
        <w:div w:id="1193877782">
          <w:marLeft w:val="0"/>
          <w:marRight w:val="0"/>
          <w:marTop w:val="0"/>
          <w:marBottom w:val="0"/>
          <w:divBdr>
            <w:top w:val="none" w:sz="0" w:space="0" w:color="auto"/>
            <w:left w:val="none" w:sz="0" w:space="0" w:color="auto"/>
            <w:bottom w:val="none" w:sz="0" w:space="0" w:color="auto"/>
            <w:right w:val="none" w:sz="0" w:space="0" w:color="auto"/>
          </w:divBdr>
        </w:div>
        <w:div w:id="1528983635">
          <w:marLeft w:val="0"/>
          <w:marRight w:val="0"/>
          <w:marTop w:val="0"/>
          <w:marBottom w:val="0"/>
          <w:divBdr>
            <w:top w:val="none" w:sz="0" w:space="0" w:color="auto"/>
            <w:left w:val="none" w:sz="0" w:space="0" w:color="auto"/>
            <w:bottom w:val="none" w:sz="0" w:space="0" w:color="auto"/>
            <w:right w:val="none" w:sz="0" w:space="0" w:color="auto"/>
          </w:divBdr>
        </w:div>
        <w:div w:id="150296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1016/j.earlhumdev.2007.09.018" TargetMode="External"/><Relationship Id="rId18" Type="http://schemas.openxmlformats.org/officeDocument/2006/relationships/hyperlink" Target="https://doi.org/10.4103/2152-7806.144630" TargetMode="External"/><Relationship Id="rId3" Type="http://schemas.openxmlformats.org/officeDocument/2006/relationships/settings" Target="settings.xml"/><Relationship Id="rId21" Type="http://schemas.openxmlformats.org/officeDocument/2006/relationships/hyperlink" Target="https://doi.org/10.1113/jphysiol.2003.043661" TargetMode="External"/><Relationship Id="rId7" Type="http://schemas.openxmlformats.org/officeDocument/2006/relationships/image" Target="media/image1.jpeg"/><Relationship Id="rId12" Type="http://schemas.openxmlformats.org/officeDocument/2006/relationships/hyperlink" Target="https://doi.org/10.1159/000112948" TargetMode="External"/><Relationship Id="rId17" Type="http://schemas.openxmlformats.org/officeDocument/2006/relationships/hyperlink" Target="https://doi.org/10.1038/ncpneuro098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one.0076470" TargetMode="External"/><Relationship Id="rId20" Type="http://schemas.openxmlformats.org/officeDocument/2006/relationships/hyperlink" Target="https://doi.org/10.1016/j.pneurobio.2005.11.00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1469-8749.1999.tb00525.x" TargetMode="External"/><Relationship Id="rId23"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hyperlink" Target="https://doi.org/10.1055/s-0031-1301328"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doi.org/10.1371/journal.pone.0229270" TargetMode="External"/><Relationship Id="rId22" Type="http://schemas.openxmlformats.org/officeDocument/2006/relationships/hyperlink" Target="https://doi.org/10.1097/j.pain.000000000000120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f8b776dc8ef8b27/Desktop/SR/Sensory%20Threshol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f8b776dc8ef8b27/Desktop/SR/Sensory%20Threshol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f8b776dc8ef8b27/Desktop/SR/Sensory%20Threshol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f8b776dc8ef8b27/Desktop/SR/Sensory%20Threshol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baseline="0">
                <a:latin typeface="Nirmala UI" panose="020B0502040204020203" pitchFamily="34" charset="0"/>
                <a:ea typeface="Nirmala UI" panose="020B0502040204020203" pitchFamily="34" charset="0"/>
                <a:cs typeface="Nirmala UI" panose="020B0502040204020203" pitchFamily="34" charset="0"/>
              </a:rPr>
              <a:t>Sensory Thresholds Over Age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'[Sensory Threshold.xlsx]Figure 1'!$A$1</c:f>
              <c:strCache>
                <c:ptCount val="1"/>
                <c:pt idx="0">
                  <c:v>Age.Study.m</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38100" cap="rnd">
                <a:solidFill>
                  <a:srgbClr val="FF0000"/>
                </a:solidFill>
                <a:prstDash val="solid"/>
              </a:ln>
              <a:effectLst/>
            </c:spPr>
            <c:trendlineType val="poly"/>
            <c:order val="3"/>
            <c:dispRSqr val="0"/>
            <c:dispEq val="0"/>
          </c:trendline>
          <c:xVal>
            <c:numRef>
              <c:f>'[Sensory Threshold.xlsx]Figure 1'!$A$2:$A$132</c:f>
              <c:numCache>
                <c:formatCode>General</c:formatCode>
                <c:ptCount val="131"/>
                <c:pt idx="0">
                  <c:v>2.1349999999999998</c:v>
                </c:pt>
                <c:pt idx="1">
                  <c:v>3.7120000000000002</c:v>
                </c:pt>
                <c:pt idx="2">
                  <c:v>2.431</c:v>
                </c:pt>
                <c:pt idx="3">
                  <c:v>3.9089999999999998</c:v>
                </c:pt>
                <c:pt idx="4">
                  <c:v>4.7629999999999999</c:v>
                </c:pt>
                <c:pt idx="5">
                  <c:v>2.0699999999999998</c:v>
                </c:pt>
                <c:pt idx="6">
                  <c:v>3.8759999999999999</c:v>
                </c:pt>
                <c:pt idx="7">
                  <c:v>2.0699999999999998</c:v>
                </c:pt>
                <c:pt idx="8">
                  <c:v>3.8759999999999999</c:v>
                </c:pt>
                <c:pt idx="9">
                  <c:v>1.873</c:v>
                </c:pt>
                <c:pt idx="10">
                  <c:v>4.2380000000000004</c:v>
                </c:pt>
                <c:pt idx="11">
                  <c:v>2.431</c:v>
                </c:pt>
                <c:pt idx="12">
                  <c:v>3.9089999999999998</c:v>
                </c:pt>
                <c:pt idx="13">
                  <c:v>2.234</c:v>
                </c:pt>
                <c:pt idx="14">
                  <c:v>4.8620000000000001</c:v>
                </c:pt>
                <c:pt idx="15">
                  <c:v>1.9710000000000001</c:v>
                </c:pt>
                <c:pt idx="16">
                  <c:v>3.3180000000000001</c:v>
                </c:pt>
                <c:pt idx="17">
                  <c:v>5.0590000000000002</c:v>
                </c:pt>
                <c:pt idx="18">
                  <c:v>10.282999999999999</c:v>
                </c:pt>
                <c:pt idx="19">
                  <c:v>4.5010000000000003</c:v>
                </c:pt>
                <c:pt idx="20">
                  <c:v>6.11</c:v>
                </c:pt>
                <c:pt idx="21">
                  <c:v>10.02</c:v>
                </c:pt>
                <c:pt idx="22">
                  <c:v>4.5010000000000003</c:v>
                </c:pt>
                <c:pt idx="23">
                  <c:v>6.11</c:v>
                </c:pt>
                <c:pt idx="24">
                  <c:v>10.02</c:v>
                </c:pt>
                <c:pt idx="25">
                  <c:v>2.1680000000000001</c:v>
                </c:pt>
                <c:pt idx="26">
                  <c:v>4.5010000000000003</c:v>
                </c:pt>
                <c:pt idx="27">
                  <c:v>10.677</c:v>
                </c:pt>
                <c:pt idx="28">
                  <c:v>2.9889999999999999</c:v>
                </c:pt>
                <c:pt idx="29">
                  <c:v>4.8620000000000001</c:v>
                </c:pt>
                <c:pt idx="30">
                  <c:v>1.9710000000000001</c:v>
                </c:pt>
                <c:pt idx="31">
                  <c:v>4.7629999999999999</c:v>
                </c:pt>
                <c:pt idx="32">
                  <c:v>2.004</c:v>
                </c:pt>
                <c:pt idx="33">
                  <c:v>4.665</c:v>
                </c:pt>
                <c:pt idx="34">
                  <c:v>10.644</c:v>
                </c:pt>
                <c:pt idx="35">
                  <c:v>2.2010000000000001</c:v>
                </c:pt>
                <c:pt idx="36">
                  <c:v>4.2050000000000001</c:v>
                </c:pt>
                <c:pt idx="37">
                  <c:v>2.1349999999999998</c:v>
                </c:pt>
                <c:pt idx="38">
                  <c:v>5.5190000000000001</c:v>
                </c:pt>
                <c:pt idx="39">
                  <c:v>2.9889999999999999</c:v>
                </c:pt>
                <c:pt idx="40">
                  <c:v>4.5990000000000002</c:v>
                </c:pt>
                <c:pt idx="41">
                  <c:v>2.3319999999999999</c:v>
                </c:pt>
                <c:pt idx="42">
                  <c:v>5.0919999999999996</c:v>
                </c:pt>
                <c:pt idx="43">
                  <c:v>4.5339999999999998</c:v>
                </c:pt>
                <c:pt idx="44">
                  <c:v>2.1019999999999999</c:v>
                </c:pt>
                <c:pt idx="45">
                  <c:v>4.4020000000000001</c:v>
                </c:pt>
                <c:pt idx="46">
                  <c:v>2.1019999999999999</c:v>
                </c:pt>
                <c:pt idx="47">
                  <c:v>2.1353482260184</c:v>
                </c:pt>
                <c:pt idx="48">
                  <c:v>5.0259999999999998</c:v>
                </c:pt>
                <c:pt idx="49">
                  <c:v>10.775</c:v>
                </c:pt>
                <c:pt idx="50">
                  <c:v>2.1353482260184</c:v>
                </c:pt>
                <c:pt idx="51">
                  <c:v>5.0259999999999998</c:v>
                </c:pt>
                <c:pt idx="52">
                  <c:v>10.775</c:v>
                </c:pt>
                <c:pt idx="53">
                  <c:v>2.4969999999999999</c:v>
                </c:pt>
                <c:pt idx="54">
                  <c:v>4.5659999999999998</c:v>
                </c:pt>
                <c:pt idx="55">
                  <c:v>10.085000000000001</c:v>
                </c:pt>
                <c:pt idx="56">
                  <c:v>2.004</c:v>
                </c:pt>
                <c:pt idx="57">
                  <c:v>4.7960000000000003</c:v>
                </c:pt>
                <c:pt idx="58">
                  <c:v>10.545</c:v>
                </c:pt>
                <c:pt idx="59">
                  <c:v>4.665</c:v>
                </c:pt>
                <c:pt idx="60">
                  <c:v>2.5950000000000002</c:v>
                </c:pt>
                <c:pt idx="61">
                  <c:v>4.9610000000000003</c:v>
                </c:pt>
                <c:pt idx="62">
                  <c:v>2.3319999999999999</c:v>
                </c:pt>
                <c:pt idx="63">
                  <c:v>10.085000000000001</c:v>
                </c:pt>
                <c:pt idx="64">
                  <c:v>2.004</c:v>
                </c:pt>
                <c:pt idx="65">
                  <c:v>4.5659999999999998</c:v>
                </c:pt>
                <c:pt idx="66">
                  <c:v>10.282999999999999</c:v>
                </c:pt>
                <c:pt idx="67">
                  <c:v>2.004</c:v>
                </c:pt>
                <c:pt idx="68">
                  <c:v>4.7629999999999999</c:v>
                </c:pt>
                <c:pt idx="69">
                  <c:v>10.512</c:v>
                </c:pt>
                <c:pt idx="70">
                  <c:v>2.0699999999999998</c:v>
                </c:pt>
                <c:pt idx="71">
                  <c:v>10.577999999999999</c:v>
                </c:pt>
                <c:pt idx="72">
                  <c:v>3.351</c:v>
                </c:pt>
                <c:pt idx="73">
                  <c:v>4.665</c:v>
                </c:pt>
                <c:pt idx="74">
                  <c:v>9.9870000000000001</c:v>
                </c:pt>
                <c:pt idx="75">
                  <c:v>2.0699999999999998</c:v>
                </c:pt>
                <c:pt idx="76">
                  <c:v>4.4349999999999996</c:v>
                </c:pt>
                <c:pt idx="77">
                  <c:v>10.348000000000001</c:v>
                </c:pt>
                <c:pt idx="78">
                  <c:v>1.9379999999999999</c:v>
                </c:pt>
                <c:pt idx="79">
                  <c:v>10.907</c:v>
                </c:pt>
                <c:pt idx="80">
                  <c:v>1.8069999999999999</c:v>
                </c:pt>
                <c:pt idx="81">
                  <c:v>10.775</c:v>
                </c:pt>
                <c:pt idx="82">
                  <c:v>2.004</c:v>
                </c:pt>
                <c:pt idx="83">
                  <c:v>4.7629999999999999</c:v>
                </c:pt>
                <c:pt idx="84">
                  <c:v>10.053000000000001</c:v>
                </c:pt>
                <c:pt idx="85">
                  <c:v>2.9239999999999999</c:v>
                </c:pt>
                <c:pt idx="86">
                  <c:v>4.9930000000000003</c:v>
                </c:pt>
                <c:pt idx="87">
                  <c:v>10.02</c:v>
                </c:pt>
                <c:pt idx="88">
                  <c:v>2.3319999999999999</c:v>
                </c:pt>
                <c:pt idx="89">
                  <c:v>4.7629999999999999</c:v>
                </c:pt>
                <c:pt idx="90">
                  <c:v>10.972</c:v>
                </c:pt>
                <c:pt idx="91">
                  <c:v>2.1349999999999998</c:v>
                </c:pt>
                <c:pt idx="92">
                  <c:v>4.8949999999999996</c:v>
                </c:pt>
                <c:pt idx="93">
                  <c:v>1.9379999999999999</c:v>
                </c:pt>
                <c:pt idx="94">
                  <c:v>3.4489999999999998</c:v>
                </c:pt>
                <c:pt idx="95">
                  <c:v>4.5659999999999998</c:v>
                </c:pt>
                <c:pt idx="96">
                  <c:v>3.1869999999999998</c:v>
                </c:pt>
                <c:pt idx="97">
                  <c:v>3.0550000000000002</c:v>
                </c:pt>
                <c:pt idx="98">
                  <c:v>1.84</c:v>
                </c:pt>
                <c:pt idx="99">
                  <c:v>5.9459999999999997</c:v>
                </c:pt>
                <c:pt idx="100">
                  <c:v>2.8250000000000002</c:v>
                </c:pt>
                <c:pt idx="101">
                  <c:v>4.7960000000000003</c:v>
                </c:pt>
                <c:pt idx="102">
                  <c:v>2.464</c:v>
                </c:pt>
                <c:pt idx="103">
                  <c:v>5.2229999999999999</c:v>
                </c:pt>
                <c:pt idx="104">
                  <c:v>2.3319999999999999</c:v>
                </c:pt>
                <c:pt idx="105">
                  <c:v>4.8289999999999997</c:v>
                </c:pt>
                <c:pt idx="106">
                  <c:v>2.694</c:v>
                </c:pt>
                <c:pt idx="107">
                  <c:v>4.5010000000000003</c:v>
                </c:pt>
                <c:pt idx="108">
                  <c:v>2.5950000000000002</c:v>
                </c:pt>
                <c:pt idx="109">
                  <c:v>2.661</c:v>
                </c:pt>
                <c:pt idx="110">
                  <c:v>4.7309999999999999</c:v>
                </c:pt>
                <c:pt idx="111">
                  <c:v>2.234</c:v>
                </c:pt>
                <c:pt idx="112">
                  <c:v>4.5010000000000003</c:v>
                </c:pt>
                <c:pt idx="113">
                  <c:v>2.1019999999999999</c:v>
                </c:pt>
                <c:pt idx="114">
                  <c:v>4.7309999999999999</c:v>
                </c:pt>
                <c:pt idx="115">
                  <c:v>2.2669999999999999</c:v>
                </c:pt>
                <c:pt idx="116">
                  <c:v>4.5339999999999998</c:v>
                </c:pt>
                <c:pt idx="117">
                  <c:v>4.5990000000000002</c:v>
                </c:pt>
                <c:pt idx="118">
                  <c:v>2.76</c:v>
                </c:pt>
                <c:pt idx="119">
                  <c:v>5.0590000000000002</c:v>
                </c:pt>
                <c:pt idx="120">
                  <c:v>2.2010000000000001</c:v>
                </c:pt>
                <c:pt idx="121">
                  <c:v>4.7309999999999999</c:v>
                </c:pt>
                <c:pt idx="122">
                  <c:v>4.0739999999999998</c:v>
                </c:pt>
                <c:pt idx="123">
                  <c:v>2.694</c:v>
                </c:pt>
                <c:pt idx="124">
                  <c:v>4.5659999999999998</c:v>
                </c:pt>
                <c:pt idx="125">
                  <c:v>2.76</c:v>
                </c:pt>
                <c:pt idx="126">
                  <c:v>4.6319999999999997</c:v>
                </c:pt>
                <c:pt idx="127">
                  <c:v>5.3220000000000001</c:v>
                </c:pt>
                <c:pt idx="128">
                  <c:v>2.004</c:v>
                </c:pt>
                <c:pt idx="129">
                  <c:v>4.7309999999999999</c:v>
                </c:pt>
                <c:pt idx="130">
                  <c:v>2.6280000000000001</c:v>
                </c:pt>
              </c:numCache>
            </c:numRef>
          </c:xVal>
          <c:yVal>
            <c:numRef>
              <c:f>'[Sensory Threshold.xlsx]Figure 1'!$B$2:$B$148</c:f>
              <c:numCache>
                <c:formatCode>General</c:formatCode>
                <c:ptCount val="147"/>
                <c:pt idx="0">
                  <c:v>9.5</c:v>
                </c:pt>
                <c:pt idx="1">
                  <c:v>12</c:v>
                </c:pt>
                <c:pt idx="2">
                  <c:v>10.5</c:v>
                </c:pt>
                <c:pt idx="3">
                  <c:v>11</c:v>
                </c:pt>
                <c:pt idx="4">
                  <c:v>9.5</c:v>
                </c:pt>
                <c:pt idx="5">
                  <c:v>10.5</c:v>
                </c:pt>
                <c:pt idx="6">
                  <c:v>10</c:v>
                </c:pt>
                <c:pt idx="7">
                  <c:v>7</c:v>
                </c:pt>
                <c:pt idx="8">
                  <c:v>14.5</c:v>
                </c:pt>
                <c:pt idx="9">
                  <c:v>12</c:v>
                </c:pt>
                <c:pt idx="10">
                  <c:v>18.5</c:v>
                </c:pt>
                <c:pt idx="11">
                  <c:v>6</c:v>
                </c:pt>
                <c:pt idx="12">
                  <c:v>7.5</c:v>
                </c:pt>
                <c:pt idx="13">
                  <c:v>12</c:v>
                </c:pt>
                <c:pt idx="14">
                  <c:v>13</c:v>
                </c:pt>
                <c:pt idx="15">
                  <c:v>9.5</c:v>
                </c:pt>
                <c:pt idx="16">
                  <c:v>13.5</c:v>
                </c:pt>
                <c:pt idx="17">
                  <c:v>13</c:v>
                </c:pt>
                <c:pt idx="18">
                  <c:v>9</c:v>
                </c:pt>
                <c:pt idx="19">
                  <c:v>13.5</c:v>
                </c:pt>
                <c:pt idx="20">
                  <c:v>13</c:v>
                </c:pt>
                <c:pt idx="21">
                  <c:v>11.5</c:v>
                </c:pt>
                <c:pt idx="22">
                  <c:v>14.5</c:v>
                </c:pt>
                <c:pt idx="23">
                  <c:v>14.5</c:v>
                </c:pt>
                <c:pt idx="24">
                  <c:v>12</c:v>
                </c:pt>
                <c:pt idx="25">
                  <c:v>10</c:v>
                </c:pt>
                <c:pt idx="26">
                  <c:v>11.5</c:v>
                </c:pt>
                <c:pt idx="27">
                  <c:v>8</c:v>
                </c:pt>
                <c:pt idx="28">
                  <c:v>9</c:v>
                </c:pt>
                <c:pt idx="29">
                  <c:v>14.5</c:v>
                </c:pt>
                <c:pt idx="30">
                  <c:v>8.5</c:v>
                </c:pt>
                <c:pt idx="31">
                  <c:v>11</c:v>
                </c:pt>
                <c:pt idx="32">
                  <c:v>9.5</c:v>
                </c:pt>
                <c:pt idx="33">
                  <c:v>8</c:v>
                </c:pt>
                <c:pt idx="34">
                  <c:v>8.5</c:v>
                </c:pt>
                <c:pt idx="35">
                  <c:v>16.5</c:v>
                </c:pt>
                <c:pt idx="36">
                  <c:v>15.5</c:v>
                </c:pt>
                <c:pt idx="37">
                  <c:v>7</c:v>
                </c:pt>
                <c:pt idx="38">
                  <c:v>10</c:v>
                </c:pt>
                <c:pt idx="39">
                  <c:v>12</c:v>
                </c:pt>
                <c:pt idx="40">
                  <c:v>13</c:v>
                </c:pt>
                <c:pt idx="41">
                  <c:v>15.5</c:v>
                </c:pt>
                <c:pt idx="42">
                  <c:v>11.5</c:v>
                </c:pt>
                <c:pt idx="43">
                  <c:v>8.5</c:v>
                </c:pt>
                <c:pt idx="44">
                  <c:v>14</c:v>
                </c:pt>
                <c:pt idx="45">
                  <c:v>13</c:v>
                </c:pt>
                <c:pt idx="46">
                  <c:v>9</c:v>
                </c:pt>
                <c:pt idx="47">
                  <c:v>9.5</c:v>
                </c:pt>
                <c:pt idx="48">
                  <c:v>11.5</c:v>
                </c:pt>
                <c:pt idx="49">
                  <c:v>13</c:v>
                </c:pt>
                <c:pt idx="50">
                  <c:v>11</c:v>
                </c:pt>
                <c:pt idx="51">
                  <c:v>16</c:v>
                </c:pt>
                <c:pt idx="52">
                  <c:v>14.5</c:v>
                </c:pt>
                <c:pt idx="53">
                  <c:v>14.5</c:v>
                </c:pt>
                <c:pt idx="54">
                  <c:v>7</c:v>
                </c:pt>
                <c:pt idx="55">
                  <c:v>7.5</c:v>
                </c:pt>
                <c:pt idx="56">
                  <c:v>8.5</c:v>
                </c:pt>
                <c:pt idx="57">
                  <c:v>12.5</c:v>
                </c:pt>
                <c:pt idx="58">
                  <c:v>9.5</c:v>
                </c:pt>
                <c:pt idx="59">
                  <c:v>13.5</c:v>
                </c:pt>
                <c:pt idx="60">
                  <c:v>10</c:v>
                </c:pt>
                <c:pt idx="61">
                  <c:v>15</c:v>
                </c:pt>
                <c:pt idx="62">
                  <c:v>10</c:v>
                </c:pt>
                <c:pt idx="63">
                  <c:v>7.5</c:v>
                </c:pt>
                <c:pt idx="64">
                  <c:v>13</c:v>
                </c:pt>
                <c:pt idx="65">
                  <c:v>10</c:v>
                </c:pt>
                <c:pt idx="66">
                  <c:v>5.5</c:v>
                </c:pt>
                <c:pt idx="67">
                  <c:v>10.5</c:v>
                </c:pt>
                <c:pt idx="68">
                  <c:v>12</c:v>
                </c:pt>
                <c:pt idx="69">
                  <c:v>6</c:v>
                </c:pt>
                <c:pt idx="70">
                  <c:v>11</c:v>
                </c:pt>
                <c:pt idx="71">
                  <c:v>13.5</c:v>
                </c:pt>
                <c:pt idx="72">
                  <c:v>10.5</c:v>
                </c:pt>
                <c:pt idx="73">
                  <c:v>12.5</c:v>
                </c:pt>
                <c:pt idx="74">
                  <c:v>11</c:v>
                </c:pt>
                <c:pt idx="75">
                  <c:v>10.5</c:v>
                </c:pt>
                <c:pt idx="76">
                  <c:v>7</c:v>
                </c:pt>
                <c:pt idx="77">
                  <c:v>10.5</c:v>
                </c:pt>
                <c:pt idx="78">
                  <c:v>9</c:v>
                </c:pt>
                <c:pt idx="79">
                  <c:v>8</c:v>
                </c:pt>
                <c:pt idx="80">
                  <c:v>8</c:v>
                </c:pt>
                <c:pt idx="81">
                  <c:v>8.5</c:v>
                </c:pt>
                <c:pt idx="82">
                  <c:v>8.5</c:v>
                </c:pt>
                <c:pt idx="83">
                  <c:v>12</c:v>
                </c:pt>
                <c:pt idx="84">
                  <c:v>13</c:v>
                </c:pt>
                <c:pt idx="85">
                  <c:v>11.5</c:v>
                </c:pt>
                <c:pt idx="86">
                  <c:v>14</c:v>
                </c:pt>
                <c:pt idx="87">
                  <c:v>3.5</c:v>
                </c:pt>
                <c:pt idx="88">
                  <c:v>9.5</c:v>
                </c:pt>
                <c:pt idx="89">
                  <c:v>14.5</c:v>
                </c:pt>
                <c:pt idx="90">
                  <c:v>12</c:v>
                </c:pt>
                <c:pt idx="91">
                  <c:v>9.5</c:v>
                </c:pt>
                <c:pt idx="92">
                  <c:v>16</c:v>
                </c:pt>
                <c:pt idx="93">
                  <c:v>9</c:v>
                </c:pt>
                <c:pt idx="94">
                  <c:v>14.5</c:v>
                </c:pt>
                <c:pt idx="95">
                  <c:v>13</c:v>
                </c:pt>
                <c:pt idx="96">
                  <c:v>9.5</c:v>
                </c:pt>
                <c:pt idx="97">
                  <c:v>10</c:v>
                </c:pt>
                <c:pt idx="98">
                  <c:v>14</c:v>
                </c:pt>
                <c:pt idx="99">
                  <c:v>10</c:v>
                </c:pt>
                <c:pt idx="100">
                  <c:v>10</c:v>
                </c:pt>
                <c:pt idx="101">
                  <c:v>7</c:v>
                </c:pt>
                <c:pt idx="102">
                  <c:v>10</c:v>
                </c:pt>
                <c:pt idx="103">
                  <c:v>9.5</c:v>
                </c:pt>
                <c:pt idx="104">
                  <c:v>9</c:v>
                </c:pt>
                <c:pt idx="105">
                  <c:v>9.5</c:v>
                </c:pt>
                <c:pt idx="106">
                  <c:v>12</c:v>
                </c:pt>
                <c:pt idx="107">
                  <c:v>9</c:v>
                </c:pt>
                <c:pt idx="108">
                  <c:v>13.5</c:v>
                </c:pt>
                <c:pt idx="109">
                  <c:v>9</c:v>
                </c:pt>
                <c:pt idx="110">
                  <c:v>14</c:v>
                </c:pt>
                <c:pt idx="111">
                  <c:v>9.5</c:v>
                </c:pt>
                <c:pt idx="112">
                  <c:v>11.5</c:v>
                </c:pt>
                <c:pt idx="113">
                  <c:v>15.5</c:v>
                </c:pt>
                <c:pt idx="114">
                  <c:v>9.5</c:v>
                </c:pt>
                <c:pt idx="115">
                  <c:v>9.5</c:v>
                </c:pt>
                <c:pt idx="116">
                  <c:v>8</c:v>
                </c:pt>
                <c:pt idx="117">
                  <c:v>12.5</c:v>
                </c:pt>
                <c:pt idx="118">
                  <c:v>9</c:v>
                </c:pt>
                <c:pt idx="119">
                  <c:v>15.5</c:v>
                </c:pt>
                <c:pt idx="120">
                  <c:v>9</c:v>
                </c:pt>
                <c:pt idx="121">
                  <c:v>17</c:v>
                </c:pt>
                <c:pt idx="122">
                  <c:v>11</c:v>
                </c:pt>
                <c:pt idx="123">
                  <c:v>9</c:v>
                </c:pt>
                <c:pt idx="124">
                  <c:v>14</c:v>
                </c:pt>
                <c:pt idx="125">
                  <c:v>8</c:v>
                </c:pt>
                <c:pt idx="126">
                  <c:v>9.5</c:v>
                </c:pt>
                <c:pt idx="127">
                  <c:v>12</c:v>
                </c:pt>
                <c:pt idx="128">
                  <c:v>9</c:v>
                </c:pt>
                <c:pt idx="129">
                  <c:v>15.5</c:v>
                </c:pt>
                <c:pt idx="130">
                  <c:v>8.5</c:v>
                </c:pt>
              </c:numCache>
            </c:numRef>
          </c:yVal>
          <c:smooth val="0"/>
          <c:extLst>
            <c:ext xmlns:c16="http://schemas.microsoft.com/office/drawing/2014/chart" uri="{C3380CC4-5D6E-409C-BE32-E72D297353CC}">
              <c16:uniqueId val="{00000001-3C3E-403C-AEAE-51E1B9EB9EAC}"/>
            </c:ext>
          </c:extLst>
        </c:ser>
        <c:dLbls>
          <c:showLegendKey val="0"/>
          <c:showVal val="0"/>
          <c:showCatName val="0"/>
          <c:showSerName val="0"/>
          <c:showPercent val="0"/>
          <c:showBubbleSize val="0"/>
        </c:dLbls>
        <c:axId val="1568720559"/>
        <c:axId val="1476542463"/>
      </c:scatterChart>
      <c:valAx>
        <c:axId val="1568720559"/>
        <c:scaling>
          <c:orientation val="minMax"/>
        </c:scaling>
        <c:delete val="0"/>
        <c:axPos val="b"/>
        <c:majorGridlines>
          <c:spPr>
            <a:ln w="19050"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latin typeface="Nirmala UI" panose="020B0502040204020203" pitchFamily="34" charset="0"/>
                    <a:ea typeface="Nirmala UI" panose="020B0502040204020203" pitchFamily="34" charset="0"/>
                    <a:cs typeface="Nirmala UI" panose="020B0502040204020203" pitchFamily="34" charset="0"/>
                  </a:rPr>
                  <a:t>Age at Study (months)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crossAx val="1476542463"/>
        <c:crosses val="autoZero"/>
        <c:crossBetween val="midCat"/>
      </c:valAx>
      <c:valAx>
        <c:axId val="1476542463"/>
        <c:scaling>
          <c:orientation val="minMax"/>
        </c:scaling>
        <c:delete val="0"/>
        <c:axPos val="l"/>
        <c:majorGridlines>
          <c:spPr>
            <a:ln w="190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latin typeface="Nirmala UI" panose="020B0502040204020203" pitchFamily="34" charset="0"/>
                    <a:ea typeface="Nirmala UI" panose="020B0502040204020203" pitchFamily="34" charset="0"/>
                    <a:cs typeface="Nirmala UI" panose="020B0502040204020203" pitchFamily="34" charset="0"/>
                  </a:rPr>
                  <a:t>Sensory Threshold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crossAx val="1568720559"/>
        <c:crosses val="autoZero"/>
        <c:crossBetween val="midCat"/>
        <c:majorUnit val="1"/>
      </c:valAx>
      <c:spPr>
        <a:noFill/>
        <a:ln w="1905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800" b="1">
                <a:latin typeface="Nirmala UI" panose="020B0502040204020203" pitchFamily="34" charset="0"/>
                <a:ea typeface="Nirmala UI" panose="020B0502040204020203" pitchFamily="34" charset="0"/>
                <a:cs typeface="Nirmala UI" panose="020B0502040204020203" pitchFamily="34" charset="0"/>
              </a:rPr>
              <a:t>Effect</a:t>
            </a:r>
            <a:r>
              <a:rPr lang="en-US" sz="1800" b="1" baseline="0">
                <a:latin typeface="Nirmala UI" panose="020B0502040204020203" pitchFamily="34" charset="0"/>
                <a:ea typeface="Nirmala UI" panose="020B0502040204020203" pitchFamily="34" charset="0"/>
                <a:cs typeface="Nirmala UI" panose="020B0502040204020203" pitchFamily="34" charset="0"/>
              </a:rPr>
              <a:t> of Gender on Sensory Thresholds</a:t>
            </a:r>
            <a:endParaRPr lang="en-US" sz="1800" b="1">
              <a:latin typeface="Nirmala UI" panose="020B0502040204020203" pitchFamily="34" charset="0"/>
              <a:ea typeface="Nirmala UI" panose="020B0502040204020203" pitchFamily="34" charset="0"/>
              <a:cs typeface="Nirmala UI" panose="020B0502040204020203" pitchFamily="34" charset="0"/>
            </a:endParaRP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autoTitleDeleted val="0"/>
    <c:plotArea>
      <c:layout/>
      <c:scatterChart>
        <c:scatterStyle val="lineMarker"/>
        <c:varyColors val="0"/>
        <c:ser>
          <c:idx val="0"/>
          <c:order val="0"/>
          <c:tx>
            <c:v>Females</c:v>
          </c:tx>
          <c:spPr>
            <a:ln w="2540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1"/>
                </a:solidFill>
                <a:prstDash val="solid"/>
              </a:ln>
              <a:effectLst/>
            </c:spPr>
            <c:trendlineType val="poly"/>
            <c:order val="2"/>
            <c:dispRSqr val="0"/>
            <c:dispEq val="0"/>
          </c:trendline>
          <c:xVal>
            <c:numRef>
              <c:f>'[Sensory Threshold.xlsx]Gender'!$B$1:$B$58</c:f>
              <c:numCache>
                <c:formatCode>General</c:formatCode>
                <c:ptCount val="58"/>
                <c:pt idx="0">
                  <c:v>2.1349999999999998</c:v>
                </c:pt>
                <c:pt idx="1">
                  <c:v>3.7120000000000002</c:v>
                </c:pt>
                <c:pt idx="2">
                  <c:v>2.0699999999999998</c:v>
                </c:pt>
                <c:pt idx="3">
                  <c:v>3.8759999999999999</c:v>
                </c:pt>
                <c:pt idx="4">
                  <c:v>2.431</c:v>
                </c:pt>
                <c:pt idx="5">
                  <c:v>3.9089999999999998</c:v>
                </c:pt>
                <c:pt idx="6">
                  <c:v>3.3180000000000001</c:v>
                </c:pt>
                <c:pt idx="7">
                  <c:v>5.0590000000000002</c:v>
                </c:pt>
                <c:pt idx="8">
                  <c:v>10.282999999999999</c:v>
                </c:pt>
                <c:pt idx="9">
                  <c:v>1.9710000000000001</c:v>
                </c:pt>
                <c:pt idx="10">
                  <c:v>4.7629999999999999</c:v>
                </c:pt>
                <c:pt idx="11">
                  <c:v>2.2010000000000001</c:v>
                </c:pt>
                <c:pt idx="12">
                  <c:v>4.2050000000000001</c:v>
                </c:pt>
                <c:pt idx="13">
                  <c:v>4.5339999999999998</c:v>
                </c:pt>
                <c:pt idx="14">
                  <c:v>2.1353482260184</c:v>
                </c:pt>
                <c:pt idx="15">
                  <c:v>5.0259999999999998</c:v>
                </c:pt>
                <c:pt idx="16">
                  <c:v>10.775</c:v>
                </c:pt>
                <c:pt idx="17">
                  <c:v>2.004</c:v>
                </c:pt>
                <c:pt idx="18">
                  <c:v>4.7960000000000003</c:v>
                </c:pt>
                <c:pt idx="19">
                  <c:v>10.545</c:v>
                </c:pt>
                <c:pt idx="20">
                  <c:v>3.351</c:v>
                </c:pt>
                <c:pt idx="21">
                  <c:v>4.665</c:v>
                </c:pt>
                <c:pt idx="22">
                  <c:v>9.9870000000000001</c:v>
                </c:pt>
                <c:pt idx="23">
                  <c:v>2.0699999999999998</c:v>
                </c:pt>
                <c:pt idx="24">
                  <c:v>4.4349999999999996</c:v>
                </c:pt>
                <c:pt idx="25">
                  <c:v>10.348000000000001</c:v>
                </c:pt>
                <c:pt idx="26">
                  <c:v>2.1349999999999998</c:v>
                </c:pt>
                <c:pt idx="27">
                  <c:v>4.8949999999999996</c:v>
                </c:pt>
                <c:pt idx="28">
                  <c:v>2.8250000000000002</c:v>
                </c:pt>
                <c:pt idx="29">
                  <c:v>4.7960000000000003</c:v>
                </c:pt>
                <c:pt idx="30">
                  <c:v>2.694</c:v>
                </c:pt>
                <c:pt idx="31">
                  <c:v>4.5010000000000003</c:v>
                </c:pt>
                <c:pt idx="32">
                  <c:v>2.5950000000000002</c:v>
                </c:pt>
                <c:pt idx="33">
                  <c:v>2.661</c:v>
                </c:pt>
                <c:pt idx="34">
                  <c:v>4.7309999999999999</c:v>
                </c:pt>
                <c:pt idx="35">
                  <c:v>2.234</c:v>
                </c:pt>
                <c:pt idx="36">
                  <c:v>4.5010000000000003</c:v>
                </c:pt>
                <c:pt idx="37">
                  <c:v>2.1019999999999999</c:v>
                </c:pt>
                <c:pt idx="38">
                  <c:v>2.2010000000000001</c:v>
                </c:pt>
                <c:pt idx="39">
                  <c:v>4.7309999999999999</c:v>
                </c:pt>
                <c:pt idx="40">
                  <c:v>2.004</c:v>
                </c:pt>
                <c:pt idx="41">
                  <c:v>4.7309999999999999</c:v>
                </c:pt>
                <c:pt idx="42">
                  <c:v>2.431</c:v>
                </c:pt>
                <c:pt idx="43">
                  <c:v>3.9089999999999998</c:v>
                </c:pt>
                <c:pt idx="44">
                  <c:v>4.7629999999999999</c:v>
                </c:pt>
                <c:pt idx="45">
                  <c:v>2.0699999999999998</c:v>
                </c:pt>
                <c:pt idx="46">
                  <c:v>3.8759999999999999</c:v>
                </c:pt>
                <c:pt idx="47">
                  <c:v>1.873</c:v>
                </c:pt>
                <c:pt idx="48">
                  <c:v>4.2380000000000004</c:v>
                </c:pt>
                <c:pt idx="49">
                  <c:v>2.234</c:v>
                </c:pt>
                <c:pt idx="50">
                  <c:v>4.8620000000000001</c:v>
                </c:pt>
                <c:pt idx="51">
                  <c:v>1.9710000000000001</c:v>
                </c:pt>
                <c:pt idx="52">
                  <c:v>4.5010000000000003</c:v>
                </c:pt>
                <c:pt idx="53">
                  <c:v>6.11</c:v>
                </c:pt>
                <c:pt idx="54">
                  <c:v>10.02</c:v>
                </c:pt>
                <c:pt idx="55">
                  <c:v>4.5010000000000003</c:v>
                </c:pt>
                <c:pt idx="56">
                  <c:v>6.11</c:v>
                </c:pt>
                <c:pt idx="57">
                  <c:v>10.02</c:v>
                </c:pt>
              </c:numCache>
            </c:numRef>
          </c:xVal>
          <c:yVal>
            <c:numRef>
              <c:f>'[Sensory Threshold.xlsx]Gender'!$D$1:$D$42</c:f>
              <c:numCache>
                <c:formatCode>General</c:formatCode>
                <c:ptCount val="42"/>
                <c:pt idx="0">
                  <c:v>9.5</c:v>
                </c:pt>
                <c:pt idx="1">
                  <c:v>12</c:v>
                </c:pt>
                <c:pt idx="2">
                  <c:v>7</c:v>
                </c:pt>
                <c:pt idx="3">
                  <c:v>14.5</c:v>
                </c:pt>
                <c:pt idx="4">
                  <c:v>6</c:v>
                </c:pt>
                <c:pt idx="5">
                  <c:v>7.5</c:v>
                </c:pt>
                <c:pt idx="6">
                  <c:v>13.5</c:v>
                </c:pt>
                <c:pt idx="7">
                  <c:v>13</c:v>
                </c:pt>
                <c:pt idx="8">
                  <c:v>9</c:v>
                </c:pt>
                <c:pt idx="9">
                  <c:v>8.5</c:v>
                </c:pt>
                <c:pt idx="10">
                  <c:v>11</c:v>
                </c:pt>
                <c:pt idx="11">
                  <c:v>16.5</c:v>
                </c:pt>
                <c:pt idx="12">
                  <c:v>15.5</c:v>
                </c:pt>
                <c:pt idx="13">
                  <c:v>8.5</c:v>
                </c:pt>
                <c:pt idx="14">
                  <c:v>11</c:v>
                </c:pt>
                <c:pt idx="15">
                  <c:v>16</c:v>
                </c:pt>
                <c:pt idx="16">
                  <c:v>14.5</c:v>
                </c:pt>
                <c:pt idx="17">
                  <c:v>8.5</c:v>
                </c:pt>
                <c:pt idx="18">
                  <c:v>12.5</c:v>
                </c:pt>
                <c:pt idx="19">
                  <c:v>9.5</c:v>
                </c:pt>
                <c:pt idx="20">
                  <c:v>10.5</c:v>
                </c:pt>
                <c:pt idx="21">
                  <c:v>12.5</c:v>
                </c:pt>
                <c:pt idx="22">
                  <c:v>11</c:v>
                </c:pt>
                <c:pt idx="23">
                  <c:v>10.5</c:v>
                </c:pt>
                <c:pt idx="24">
                  <c:v>7</c:v>
                </c:pt>
                <c:pt idx="25">
                  <c:v>10.5</c:v>
                </c:pt>
                <c:pt idx="26">
                  <c:v>9.5</c:v>
                </c:pt>
                <c:pt idx="27">
                  <c:v>16</c:v>
                </c:pt>
                <c:pt idx="28">
                  <c:v>10</c:v>
                </c:pt>
                <c:pt idx="29">
                  <c:v>7</c:v>
                </c:pt>
                <c:pt idx="30">
                  <c:v>12</c:v>
                </c:pt>
                <c:pt idx="31">
                  <c:v>9</c:v>
                </c:pt>
                <c:pt idx="32">
                  <c:v>13.5</c:v>
                </c:pt>
                <c:pt idx="33">
                  <c:v>9</c:v>
                </c:pt>
                <c:pt idx="34">
                  <c:v>14</c:v>
                </c:pt>
                <c:pt idx="35">
                  <c:v>9.5</c:v>
                </c:pt>
                <c:pt idx="36">
                  <c:v>11.5</c:v>
                </c:pt>
                <c:pt idx="37">
                  <c:v>15.5</c:v>
                </c:pt>
                <c:pt idx="38">
                  <c:v>9</c:v>
                </c:pt>
                <c:pt idx="39">
                  <c:v>17</c:v>
                </c:pt>
                <c:pt idx="40">
                  <c:v>9</c:v>
                </c:pt>
                <c:pt idx="41">
                  <c:v>15.5</c:v>
                </c:pt>
              </c:numCache>
            </c:numRef>
          </c:yVal>
          <c:smooth val="0"/>
          <c:extLst>
            <c:ext xmlns:c16="http://schemas.microsoft.com/office/drawing/2014/chart" uri="{C3380CC4-5D6E-409C-BE32-E72D297353CC}">
              <c16:uniqueId val="{00000001-FE8F-4EDE-A1B0-F2ADC62A84E8}"/>
            </c:ext>
          </c:extLst>
        </c:ser>
        <c:ser>
          <c:idx val="1"/>
          <c:order val="1"/>
          <c:tx>
            <c:v>Males</c:v>
          </c:tx>
          <c:spPr>
            <a:ln w="25400" cap="rnd">
              <a:noFill/>
              <a:round/>
            </a:ln>
            <a:effectLst/>
          </c:spPr>
          <c:marker>
            <c:symbol val="circle"/>
            <c:size val="5"/>
            <c:spPr>
              <a:solidFill>
                <a:schemeClr val="accent2"/>
              </a:solidFill>
              <a:ln w="9525">
                <a:solidFill>
                  <a:schemeClr val="accent2"/>
                </a:solidFill>
              </a:ln>
              <a:effectLst/>
            </c:spPr>
          </c:marker>
          <c:trendline>
            <c:spPr>
              <a:ln w="28575" cap="rnd">
                <a:solidFill>
                  <a:schemeClr val="accent2"/>
                </a:solidFill>
                <a:prstDash val="solid"/>
              </a:ln>
              <a:effectLst/>
            </c:spPr>
            <c:trendlineType val="poly"/>
            <c:order val="2"/>
            <c:dispRSqr val="0"/>
            <c:dispEq val="0"/>
          </c:trendline>
          <c:xVal>
            <c:numRef>
              <c:f>'[Sensory Threshold.xlsx]Gender'!$B$43:$B$131</c:f>
              <c:numCache>
                <c:formatCode>General</c:formatCode>
                <c:ptCount val="89"/>
                <c:pt idx="0">
                  <c:v>2.431</c:v>
                </c:pt>
                <c:pt idx="1">
                  <c:v>3.9089999999999998</c:v>
                </c:pt>
                <c:pt idx="2">
                  <c:v>4.7629999999999999</c:v>
                </c:pt>
                <c:pt idx="3">
                  <c:v>2.0699999999999998</c:v>
                </c:pt>
                <c:pt idx="4">
                  <c:v>3.8759999999999999</c:v>
                </c:pt>
                <c:pt idx="5">
                  <c:v>1.873</c:v>
                </c:pt>
                <c:pt idx="6">
                  <c:v>4.2380000000000004</c:v>
                </c:pt>
                <c:pt idx="7">
                  <c:v>2.234</c:v>
                </c:pt>
                <c:pt idx="8">
                  <c:v>4.8620000000000001</c:v>
                </c:pt>
                <c:pt idx="9">
                  <c:v>1.9710000000000001</c:v>
                </c:pt>
                <c:pt idx="10">
                  <c:v>4.5010000000000003</c:v>
                </c:pt>
                <c:pt idx="11">
                  <c:v>6.11</c:v>
                </c:pt>
                <c:pt idx="12">
                  <c:v>10.02</c:v>
                </c:pt>
                <c:pt idx="13">
                  <c:v>4.5010000000000003</c:v>
                </c:pt>
                <c:pt idx="14">
                  <c:v>6.11</c:v>
                </c:pt>
                <c:pt idx="15">
                  <c:v>10.02</c:v>
                </c:pt>
                <c:pt idx="16">
                  <c:v>2.1680000000000001</c:v>
                </c:pt>
                <c:pt idx="17">
                  <c:v>4.5010000000000003</c:v>
                </c:pt>
                <c:pt idx="18">
                  <c:v>10.677</c:v>
                </c:pt>
                <c:pt idx="19">
                  <c:v>2.9889999999999999</c:v>
                </c:pt>
                <c:pt idx="20">
                  <c:v>4.8620000000000001</c:v>
                </c:pt>
                <c:pt idx="21">
                  <c:v>2.004</c:v>
                </c:pt>
                <c:pt idx="22">
                  <c:v>4.665</c:v>
                </c:pt>
                <c:pt idx="23">
                  <c:v>10.644</c:v>
                </c:pt>
                <c:pt idx="24">
                  <c:v>2.1349999999999998</c:v>
                </c:pt>
                <c:pt idx="25">
                  <c:v>5.5190000000000001</c:v>
                </c:pt>
                <c:pt idx="26">
                  <c:v>2.9889999999999999</c:v>
                </c:pt>
                <c:pt idx="27">
                  <c:v>4.5990000000000002</c:v>
                </c:pt>
                <c:pt idx="28">
                  <c:v>2.3319999999999999</c:v>
                </c:pt>
                <c:pt idx="29">
                  <c:v>5.0919999999999996</c:v>
                </c:pt>
                <c:pt idx="30">
                  <c:v>2.1019999999999999</c:v>
                </c:pt>
                <c:pt idx="31">
                  <c:v>4.4020000000000001</c:v>
                </c:pt>
                <c:pt idx="32">
                  <c:v>2.1019999999999999</c:v>
                </c:pt>
                <c:pt idx="33">
                  <c:v>2.1353482260184</c:v>
                </c:pt>
                <c:pt idx="34">
                  <c:v>5.0259999999999998</c:v>
                </c:pt>
                <c:pt idx="35">
                  <c:v>10.775</c:v>
                </c:pt>
                <c:pt idx="36">
                  <c:v>2.4969999999999999</c:v>
                </c:pt>
                <c:pt idx="37">
                  <c:v>4.5659999999999998</c:v>
                </c:pt>
                <c:pt idx="38">
                  <c:v>10.085000000000001</c:v>
                </c:pt>
                <c:pt idx="39">
                  <c:v>4.665</c:v>
                </c:pt>
                <c:pt idx="40">
                  <c:v>2.5950000000000002</c:v>
                </c:pt>
                <c:pt idx="41">
                  <c:v>4.9610000000000003</c:v>
                </c:pt>
                <c:pt idx="42">
                  <c:v>2.3319999999999999</c:v>
                </c:pt>
                <c:pt idx="43">
                  <c:v>10.085000000000001</c:v>
                </c:pt>
                <c:pt idx="44">
                  <c:v>2.004</c:v>
                </c:pt>
                <c:pt idx="45">
                  <c:v>4.5659999999999998</c:v>
                </c:pt>
                <c:pt idx="46">
                  <c:v>10.282999999999999</c:v>
                </c:pt>
                <c:pt idx="47">
                  <c:v>2.004</c:v>
                </c:pt>
                <c:pt idx="48">
                  <c:v>4.7629999999999999</c:v>
                </c:pt>
                <c:pt idx="49">
                  <c:v>10.512</c:v>
                </c:pt>
                <c:pt idx="50">
                  <c:v>2.0699999999999998</c:v>
                </c:pt>
                <c:pt idx="51">
                  <c:v>10.577999999999999</c:v>
                </c:pt>
                <c:pt idx="52">
                  <c:v>1.9379999999999999</c:v>
                </c:pt>
                <c:pt idx="53">
                  <c:v>10.907</c:v>
                </c:pt>
                <c:pt idx="54">
                  <c:v>1.8069999999999999</c:v>
                </c:pt>
                <c:pt idx="55">
                  <c:v>10.775</c:v>
                </c:pt>
                <c:pt idx="56">
                  <c:v>2.004</c:v>
                </c:pt>
                <c:pt idx="57">
                  <c:v>4.7629999999999999</c:v>
                </c:pt>
                <c:pt idx="58">
                  <c:v>10.053000000000001</c:v>
                </c:pt>
                <c:pt idx="59">
                  <c:v>2.9239999999999999</c:v>
                </c:pt>
                <c:pt idx="60">
                  <c:v>4.9930000000000003</c:v>
                </c:pt>
                <c:pt idx="61">
                  <c:v>10.02</c:v>
                </c:pt>
                <c:pt idx="62">
                  <c:v>2.3319999999999999</c:v>
                </c:pt>
                <c:pt idx="63">
                  <c:v>4.7629999999999999</c:v>
                </c:pt>
                <c:pt idx="64">
                  <c:v>10.972</c:v>
                </c:pt>
                <c:pt idx="65">
                  <c:v>1.9379999999999999</c:v>
                </c:pt>
                <c:pt idx="66">
                  <c:v>3.4489999999999998</c:v>
                </c:pt>
                <c:pt idx="67">
                  <c:v>4.5659999999999998</c:v>
                </c:pt>
                <c:pt idx="68">
                  <c:v>3.1869999999999998</c:v>
                </c:pt>
                <c:pt idx="69">
                  <c:v>3.0550000000000002</c:v>
                </c:pt>
                <c:pt idx="70">
                  <c:v>1.84</c:v>
                </c:pt>
                <c:pt idx="71">
                  <c:v>5.9459999999999997</c:v>
                </c:pt>
                <c:pt idx="72">
                  <c:v>2.464</c:v>
                </c:pt>
                <c:pt idx="73">
                  <c:v>5.2229999999999999</c:v>
                </c:pt>
                <c:pt idx="74">
                  <c:v>2.3319999999999999</c:v>
                </c:pt>
                <c:pt idx="75">
                  <c:v>4.8289999999999997</c:v>
                </c:pt>
                <c:pt idx="76">
                  <c:v>4.7309999999999999</c:v>
                </c:pt>
                <c:pt idx="77">
                  <c:v>2.2669999999999999</c:v>
                </c:pt>
                <c:pt idx="78">
                  <c:v>4.5339999999999998</c:v>
                </c:pt>
                <c:pt idx="79">
                  <c:v>4.5990000000000002</c:v>
                </c:pt>
                <c:pt idx="80">
                  <c:v>2.76</c:v>
                </c:pt>
                <c:pt idx="81">
                  <c:v>5.0590000000000002</c:v>
                </c:pt>
                <c:pt idx="82">
                  <c:v>4.0739999999999998</c:v>
                </c:pt>
                <c:pt idx="83">
                  <c:v>2.694</c:v>
                </c:pt>
                <c:pt idx="84">
                  <c:v>4.5659999999999998</c:v>
                </c:pt>
                <c:pt idx="85">
                  <c:v>2.76</c:v>
                </c:pt>
                <c:pt idx="86">
                  <c:v>4.6319999999999997</c:v>
                </c:pt>
                <c:pt idx="87">
                  <c:v>5.3220000000000001</c:v>
                </c:pt>
                <c:pt idx="88">
                  <c:v>2.6280000000000001</c:v>
                </c:pt>
              </c:numCache>
            </c:numRef>
          </c:xVal>
          <c:yVal>
            <c:numRef>
              <c:f>'[Sensory Threshold.xlsx]Gender'!$D$43:$D$131</c:f>
              <c:numCache>
                <c:formatCode>General</c:formatCode>
                <c:ptCount val="89"/>
                <c:pt idx="0">
                  <c:v>10.5</c:v>
                </c:pt>
                <c:pt idx="1">
                  <c:v>11</c:v>
                </c:pt>
                <c:pt idx="2">
                  <c:v>9.5</c:v>
                </c:pt>
                <c:pt idx="3">
                  <c:v>10.5</c:v>
                </c:pt>
                <c:pt idx="4">
                  <c:v>10</c:v>
                </c:pt>
                <c:pt idx="5">
                  <c:v>12</c:v>
                </c:pt>
                <c:pt idx="6">
                  <c:v>18.5</c:v>
                </c:pt>
                <c:pt idx="7">
                  <c:v>12</c:v>
                </c:pt>
                <c:pt idx="8">
                  <c:v>13</c:v>
                </c:pt>
                <c:pt idx="9">
                  <c:v>9.5</c:v>
                </c:pt>
                <c:pt idx="10">
                  <c:v>13.5</c:v>
                </c:pt>
                <c:pt idx="11">
                  <c:v>13</c:v>
                </c:pt>
                <c:pt idx="12">
                  <c:v>11.5</c:v>
                </c:pt>
                <c:pt idx="13">
                  <c:v>14.5</c:v>
                </c:pt>
                <c:pt idx="14">
                  <c:v>14.5</c:v>
                </c:pt>
                <c:pt idx="15">
                  <c:v>12</c:v>
                </c:pt>
                <c:pt idx="16">
                  <c:v>10</c:v>
                </c:pt>
                <c:pt idx="17">
                  <c:v>11.5</c:v>
                </c:pt>
                <c:pt idx="18">
                  <c:v>8</c:v>
                </c:pt>
                <c:pt idx="19">
                  <c:v>9</c:v>
                </c:pt>
                <c:pt idx="20">
                  <c:v>14.5</c:v>
                </c:pt>
                <c:pt idx="21">
                  <c:v>9.5</c:v>
                </c:pt>
                <c:pt idx="22">
                  <c:v>8</c:v>
                </c:pt>
                <c:pt idx="23">
                  <c:v>8.5</c:v>
                </c:pt>
                <c:pt idx="24">
                  <c:v>7</c:v>
                </c:pt>
                <c:pt idx="25">
                  <c:v>10</c:v>
                </c:pt>
                <c:pt idx="26">
                  <c:v>12</c:v>
                </c:pt>
                <c:pt idx="27">
                  <c:v>13</c:v>
                </c:pt>
                <c:pt idx="28">
                  <c:v>15.5</c:v>
                </c:pt>
                <c:pt idx="29">
                  <c:v>11.5</c:v>
                </c:pt>
                <c:pt idx="30">
                  <c:v>14</c:v>
                </c:pt>
                <c:pt idx="31">
                  <c:v>13</c:v>
                </c:pt>
                <c:pt idx="32">
                  <c:v>9</c:v>
                </c:pt>
                <c:pt idx="33">
                  <c:v>9.5</c:v>
                </c:pt>
                <c:pt idx="34">
                  <c:v>11.5</c:v>
                </c:pt>
                <c:pt idx="35">
                  <c:v>13</c:v>
                </c:pt>
                <c:pt idx="36">
                  <c:v>14.5</c:v>
                </c:pt>
                <c:pt idx="37">
                  <c:v>7</c:v>
                </c:pt>
                <c:pt idx="38">
                  <c:v>7.5</c:v>
                </c:pt>
                <c:pt idx="39">
                  <c:v>13.5</c:v>
                </c:pt>
                <c:pt idx="40">
                  <c:v>10</c:v>
                </c:pt>
                <c:pt idx="41">
                  <c:v>15</c:v>
                </c:pt>
                <c:pt idx="42">
                  <c:v>10</c:v>
                </c:pt>
                <c:pt idx="43">
                  <c:v>7.5</c:v>
                </c:pt>
                <c:pt idx="44">
                  <c:v>13</c:v>
                </c:pt>
                <c:pt idx="45">
                  <c:v>10</c:v>
                </c:pt>
                <c:pt idx="46">
                  <c:v>5.5</c:v>
                </c:pt>
                <c:pt idx="47">
                  <c:v>10.5</c:v>
                </c:pt>
                <c:pt idx="48">
                  <c:v>12</c:v>
                </c:pt>
                <c:pt idx="49">
                  <c:v>6</c:v>
                </c:pt>
                <c:pt idx="50">
                  <c:v>11</c:v>
                </c:pt>
                <c:pt idx="51">
                  <c:v>13.5</c:v>
                </c:pt>
                <c:pt idx="52">
                  <c:v>9</c:v>
                </c:pt>
                <c:pt idx="53">
                  <c:v>8</c:v>
                </c:pt>
                <c:pt idx="54">
                  <c:v>8</c:v>
                </c:pt>
                <c:pt idx="55">
                  <c:v>8.5</c:v>
                </c:pt>
                <c:pt idx="56">
                  <c:v>8.5</c:v>
                </c:pt>
                <c:pt idx="57">
                  <c:v>12</c:v>
                </c:pt>
                <c:pt idx="58">
                  <c:v>13</c:v>
                </c:pt>
                <c:pt idx="59">
                  <c:v>11.5</c:v>
                </c:pt>
                <c:pt idx="60">
                  <c:v>14</c:v>
                </c:pt>
                <c:pt idx="61">
                  <c:v>3.5</c:v>
                </c:pt>
                <c:pt idx="62">
                  <c:v>9.5</c:v>
                </c:pt>
                <c:pt idx="63">
                  <c:v>14.5</c:v>
                </c:pt>
                <c:pt idx="64">
                  <c:v>12</c:v>
                </c:pt>
                <c:pt idx="65">
                  <c:v>9</c:v>
                </c:pt>
                <c:pt idx="66">
                  <c:v>14.5</c:v>
                </c:pt>
                <c:pt idx="67">
                  <c:v>13</c:v>
                </c:pt>
                <c:pt idx="68">
                  <c:v>9.5</c:v>
                </c:pt>
                <c:pt idx="69">
                  <c:v>10</c:v>
                </c:pt>
                <c:pt idx="70">
                  <c:v>14</c:v>
                </c:pt>
                <c:pt idx="71">
                  <c:v>10</c:v>
                </c:pt>
                <c:pt idx="72">
                  <c:v>10</c:v>
                </c:pt>
                <c:pt idx="73">
                  <c:v>9.5</c:v>
                </c:pt>
                <c:pt idx="74">
                  <c:v>9</c:v>
                </c:pt>
                <c:pt idx="75">
                  <c:v>9.5</c:v>
                </c:pt>
                <c:pt idx="76">
                  <c:v>9.5</c:v>
                </c:pt>
                <c:pt idx="77">
                  <c:v>9.5</c:v>
                </c:pt>
                <c:pt idx="78">
                  <c:v>8</c:v>
                </c:pt>
                <c:pt idx="79">
                  <c:v>12.5</c:v>
                </c:pt>
                <c:pt idx="80">
                  <c:v>9</c:v>
                </c:pt>
                <c:pt idx="81">
                  <c:v>15.5</c:v>
                </c:pt>
                <c:pt idx="82">
                  <c:v>11</c:v>
                </c:pt>
                <c:pt idx="83">
                  <c:v>9</c:v>
                </c:pt>
                <c:pt idx="84">
                  <c:v>14</c:v>
                </c:pt>
                <c:pt idx="85">
                  <c:v>8</c:v>
                </c:pt>
                <c:pt idx="86">
                  <c:v>9.5</c:v>
                </c:pt>
                <c:pt idx="87">
                  <c:v>12</c:v>
                </c:pt>
                <c:pt idx="88">
                  <c:v>8.5</c:v>
                </c:pt>
              </c:numCache>
            </c:numRef>
          </c:yVal>
          <c:smooth val="0"/>
          <c:extLst>
            <c:ext xmlns:c16="http://schemas.microsoft.com/office/drawing/2014/chart" uri="{C3380CC4-5D6E-409C-BE32-E72D297353CC}">
              <c16:uniqueId val="{00000003-FE8F-4EDE-A1B0-F2ADC62A84E8}"/>
            </c:ext>
          </c:extLst>
        </c:ser>
        <c:dLbls>
          <c:showLegendKey val="0"/>
          <c:showVal val="0"/>
          <c:showCatName val="0"/>
          <c:showSerName val="0"/>
          <c:showPercent val="0"/>
          <c:showBubbleSize val="0"/>
        </c:dLbls>
        <c:axId val="1565130703"/>
        <c:axId val="1745556303"/>
      </c:scatterChart>
      <c:valAx>
        <c:axId val="1565130703"/>
        <c:scaling>
          <c:orientation val="minMax"/>
        </c:scaling>
        <c:delete val="0"/>
        <c:axPos val="b"/>
        <c:majorGridlines>
          <c:spPr>
            <a:ln w="19050" cap="flat" cmpd="sng" algn="ctr">
              <a:solidFill>
                <a:schemeClr val="bg2">
                  <a:lumMod val="90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100">
                    <a:latin typeface="Nirmala UI" panose="020B0502040204020203" pitchFamily="34" charset="0"/>
                    <a:ea typeface="Nirmala UI" panose="020B0502040204020203" pitchFamily="34" charset="0"/>
                    <a:cs typeface="Nirmala UI" panose="020B0502040204020203" pitchFamily="34" charset="0"/>
                  </a:rPr>
                  <a:t>Age at Study (months)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crossAx val="1745556303"/>
        <c:crosses val="autoZero"/>
        <c:crossBetween val="midCat"/>
        <c:majorUnit val="1"/>
      </c:valAx>
      <c:valAx>
        <c:axId val="1745556303"/>
        <c:scaling>
          <c:orientation val="minMax"/>
        </c:scaling>
        <c:delete val="0"/>
        <c:axPos val="l"/>
        <c:majorGridlines>
          <c:spPr>
            <a:ln w="19050" cap="flat" cmpd="sng" algn="ctr">
              <a:solidFill>
                <a:schemeClr val="bg2">
                  <a:lumMod val="9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100">
                    <a:latin typeface="Nirmala UI" panose="020B0502040204020203" pitchFamily="34" charset="0"/>
                    <a:ea typeface="Nirmala UI" panose="020B0502040204020203" pitchFamily="34" charset="0"/>
                    <a:cs typeface="Nirmala UI" panose="020B0502040204020203" pitchFamily="34" charset="0"/>
                  </a:rPr>
                  <a:t>Sensory</a:t>
                </a:r>
                <a:r>
                  <a:rPr lang="en-US" sz="1100" baseline="0">
                    <a:latin typeface="Nirmala UI" panose="020B0502040204020203" pitchFamily="34" charset="0"/>
                    <a:ea typeface="Nirmala UI" panose="020B0502040204020203" pitchFamily="34" charset="0"/>
                    <a:cs typeface="Nirmala UI" panose="020B0502040204020203" pitchFamily="34" charset="0"/>
                  </a:rPr>
                  <a:t> Threshold (Level)</a:t>
                </a:r>
                <a:r>
                  <a:rPr lang="en-US" sz="1100">
                    <a:latin typeface="Nirmala UI" panose="020B0502040204020203" pitchFamily="34" charset="0"/>
                    <a:ea typeface="Nirmala UI" panose="020B0502040204020203" pitchFamily="34" charset="0"/>
                    <a:cs typeface="Nirmala UI" panose="020B0502040204020203" pitchFamily="34" charset="0"/>
                  </a:rPr>
                  <a:t>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crossAx val="1565130703"/>
        <c:crosses val="autoZero"/>
        <c:crossBetween val="midCat"/>
      </c:valAx>
      <c:spPr>
        <a:noFill/>
        <a:ln>
          <a:solidFill>
            <a:schemeClr val="bg2">
              <a:lumMod val="75000"/>
            </a:schemeClr>
          </a:solid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800" b="1">
                <a:latin typeface="Nirmala UI" panose="020B0502040204020203" pitchFamily="34" charset="0"/>
                <a:ea typeface="Nirmala UI" panose="020B0502040204020203" pitchFamily="34" charset="0"/>
                <a:cs typeface="Nirmala UI" panose="020B0502040204020203" pitchFamily="34" charset="0"/>
              </a:rPr>
              <a:t>Effect</a:t>
            </a:r>
            <a:r>
              <a:rPr lang="en-US" sz="1800" b="1" baseline="0">
                <a:latin typeface="Nirmala UI" panose="020B0502040204020203" pitchFamily="34" charset="0"/>
                <a:ea typeface="Nirmala UI" panose="020B0502040204020203" pitchFamily="34" charset="0"/>
                <a:cs typeface="Nirmala UI" panose="020B0502040204020203" pitchFamily="34" charset="0"/>
              </a:rPr>
              <a:t> of Sleep State on Sensory Thresholds</a:t>
            </a:r>
            <a:endParaRPr lang="en-US" sz="1800" b="1">
              <a:latin typeface="Nirmala UI" panose="020B0502040204020203" pitchFamily="34" charset="0"/>
              <a:ea typeface="Nirmala UI" panose="020B0502040204020203" pitchFamily="34" charset="0"/>
              <a:cs typeface="Nirmala UI" panose="020B0502040204020203" pitchFamily="34" charset="0"/>
            </a:endParaRP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autoTitleDeleted val="0"/>
    <c:plotArea>
      <c:layout/>
      <c:scatterChart>
        <c:scatterStyle val="lineMarker"/>
        <c:varyColors val="0"/>
        <c:ser>
          <c:idx val="0"/>
          <c:order val="0"/>
          <c:tx>
            <c:v>Awake</c:v>
          </c:tx>
          <c:spPr>
            <a:ln w="25400" cap="rnd">
              <a:noFill/>
              <a:round/>
            </a:ln>
            <a:effectLst/>
          </c:spPr>
          <c:marker>
            <c:symbol val="circle"/>
            <c:size val="5"/>
            <c:spPr>
              <a:solidFill>
                <a:schemeClr val="accent1"/>
              </a:solidFill>
              <a:ln w="6350">
                <a:solidFill>
                  <a:schemeClr val="accent1"/>
                </a:solidFill>
              </a:ln>
              <a:effectLst/>
            </c:spPr>
          </c:marker>
          <c:trendline>
            <c:spPr>
              <a:ln w="28575" cap="rnd">
                <a:solidFill>
                  <a:schemeClr val="accent1"/>
                </a:solidFill>
                <a:prstDash val="solid"/>
              </a:ln>
              <a:effectLst/>
            </c:spPr>
            <c:trendlineType val="poly"/>
            <c:order val="2"/>
            <c:dispRSqr val="0"/>
            <c:dispEq val="0"/>
          </c:trendline>
          <c:xVal>
            <c:numRef>
              <c:f>'[Sensory Threshold.xlsx]A or S 1T'!$A$1:$A$114</c:f>
              <c:numCache>
                <c:formatCode>General</c:formatCode>
                <c:ptCount val="114"/>
                <c:pt idx="0">
                  <c:v>3.7120000000000002</c:v>
                </c:pt>
                <c:pt idx="1">
                  <c:v>2.431</c:v>
                </c:pt>
                <c:pt idx="2">
                  <c:v>3.9089999999999998</c:v>
                </c:pt>
                <c:pt idx="3">
                  <c:v>4.7629999999999999</c:v>
                </c:pt>
                <c:pt idx="4">
                  <c:v>2.0699999999999998</c:v>
                </c:pt>
                <c:pt idx="5">
                  <c:v>3.8759999999999999</c:v>
                </c:pt>
                <c:pt idx="6">
                  <c:v>2.0699999999999998</c:v>
                </c:pt>
                <c:pt idx="7">
                  <c:v>3.8759999999999999</c:v>
                </c:pt>
                <c:pt idx="8">
                  <c:v>1.873</c:v>
                </c:pt>
                <c:pt idx="9">
                  <c:v>4.2380000000000004</c:v>
                </c:pt>
                <c:pt idx="10">
                  <c:v>3.9089999999999998</c:v>
                </c:pt>
                <c:pt idx="11">
                  <c:v>4.8620000000000001</c:v>
                </c:pt>
                <c:pt idx="12">
                  <c:v>3.3180000000000001</c:v>
                </c:pt>
                <c:pt idx="13">
                  <c:v>5.0590000000000002</c:v>
                </c:pt>
                <c:pt idx="14">
                  <c:v>10.282999999999999</c:v>
                </c:pt>
                <c:pt idx="15">
                  <c:v>4.5010000000000003</c:v>
                </c:pt>
                <c:pt idx="16">
                  <c:v>6.11</c:v>
                </c:pt>
                <c:pt idx="17">
                  <c:v>4.5010000000000003</c:v>
                </c:pt>
                <c:pt idx="18">
                  <c:v>6.11</c:v>
                </c:pt>
                <c:pt idx="19">
                  <c:v>2.1680000000000001</c:v>
                </c:pt>
                <c:pt idx="20">
                  <c:v>4.5010000000000003</c:v>
                </c:pt>
                <c:pt idx="21">
                  <c:v>10.677</c:v>
                </c:pt>
                <c:pt idx="22">
                  <c:v>2.9889999999999999</c:v>
                </c:pt>
                <c:pt idx="23">
                  <c:v>4.8620000000000001</c:v>
                </c:pt>
                <c:pt idx="24">
                  <c:v>4.7629999999999999</c:v>
                </c:pt>
                <c:pt idx="25">
                  <c:v>2.004</c:v>
                </c:pt>
                <c:pt idx="26">
                  <c:v>4.665</c:v>
                </c:pt>
                <c:pt idx="27">
                  <c:v>10.644</c:v>
                </c:pt>
                <c:pt idx="28">
                  <c:v>2.2010000000000001</c:v>
                </c:pt>
                <c:pt idx="29">
                  <c:v>4.2050000000000001</c:v>
                </c:pt>
                <c:pt idx="30">
                  <c:v>2.1349999999999998</c:v>
                </c:pt>
                <c:pt idx="31">
                  <c:v>5.5190000000000001</c:v>
                </c:pt>
                <c:pt idx="32">
                  <c:v>2.9889999999999999</c:v>
                </c:pt>
                <c:pt idx="33">
                  <c:v>4.5990000000000002</c:v>
                </c:pt>
                <c:pt idx="34">
                  <c:v>2.3319999999999999</c:v>
                </c:pt>
                <c:pt idx="35">
                  <c:v>5.0919999999999996</c:v>
                </c:pt>
                <c:pt idx="36">
                  <c:v>4.5339999999999998</c:v>
                </c:pt>
                <c:pt idx="37">
                  <c:v>2.1019999999999999</c:v>
                </c:pt>
                <c:pt idx="38">
                  <c:v>4.4020000000000001</c:v>
                </c:pt>
                <c:pt idx="39">
                  <c:v>2.1019999999999999</c:v>
                </c:pt>
                <c:pt idx="40">
                  <c:v>5.0259999999999998</c:v>
                </c:pt>
                <c:pt idx="41">
                  <c:v>10.775</c:v>
                </c:pt>
                <c:pt idx="42">
                  <c:v>5.0259999999999998</c:v>
                </c:pt>
                <c:pt idx="43">
                  <c:v>10.775</c:v>
                </c:pt>
                <c:pt idx="44">
                  <c:v>2.4969999999999999</c:v>
                </c:pt>
                <c:pt idx="45">
                  <c:v>4.5659999999999998</c:v>
                </c:pt>
                <c:pt idx="46">
                  <c:v>10.085000000000001</c:v>
                </c:pt>
                <c:pt idx="47">
                  <c:v>2.004</c:v>
                </c:pt>
                <c:pt idx="48">
                  <c:v>4.7960000000000003</c:v>
                </c:pt>
                <c:pt idx="49">
                  <c:v>10.545</c:v>
                </c:pt>
                <c:pt idx="50">
                  <c:v>4.665</c:v>
                </c:pt>
                <c:pt idx="51">
                  <c:v>2.5950000000000002</c:v>
                </c:pt>
                <c:pt idx="52">
                  <c:v>4.9610000000000003</c:v>
                </c:pt>
                <c:pt idx="53">
                  <c:v>2.3319999999999999</c:v>
                </c:pt>
                <c:pt idx="54">
                  <c:v>10.085000000000001</c:v>
                </c:pt>
                <c:pt idx="55">
                  <c:v>2.004</c:v>
                </c:pt>
                <c:pt idx="56">
                  <c:v>4.5659999999999998</c:v>
                </c:pt>
                <c:pt idx="57">
                  <c:v>10.282999999999999</c:v>
                </c:pt>
                <c:pt idx="58">
                  <c:v>2.004</c:v>
                </c:pt>
                <c:pt idx="59">
                  <c:v>4.7629999999999999</c:v>
                </c:pt>
                <c:pt idx="60">
                  <c:v>10.512</c:v>
                </c:pt>
                <c:pt idx="61">
                  <c:v>2.0699999999999998</c:v>
                </c:pt>
                <c:pt idx="62">
                  <c:v>10.577999999999999</c:v>
                </c:pt>
                <c:pt idx="63">
                  <c:v>3.351</c:v>
                </c:pt>
                <c:pt idx="64">
                  <c:v>4.665</c:v>
                </c:pt>
                <c:pt idx="65">
                  <c:v>9.9870000000000001</c:v>
                </c:pt>
                <c:pt idx="66">
                  <c:v>2.0699999999999998</c:v>
                </c:pt>
                <c:pt idx="67">
                  <c:v>4.4349999999999996</c:v>
                </c:pt>
                <c:pt idx="68">
                  <c:v>10.348000000000001</c:v>
                </c:pt>
                <c:pt idx="69">
                  <c:v>1.9379999999999999</c:v>
                </c:pt>
                <c:pt idx="70">
                  <c:v>10.907</c:v>
                </c:pt>
                <c:pt idx="71">
                  <c:v>10.775</c:v>
                </c:pt>
                <c:pt idx="72">
                  <c:v>2.004</c:v>
                </c:pt>
                <c:pt idx="73">
                  <c:v>4.7629999999999999</c:v>
                </c:pt>
                <c:pt idx="74">
                  <c:v>10.053000000000001</c:v>
                </c:pt>
                <c:pt idx="75">
                  <c:v>2.9239999999999999</c:v>
                </c:pt>
                <c:pt idx="76">
                  <c:v>4.9930000000000003</c:v>
                </c:pt>
                <c:pt idx="77">
                  <c:v>10.02</c:v>
                </c:pt>
                <c:pt idx="78">
                  <c:v>2.3319999999999999</c:v>
                </c:pt>
                <c:pt idx="79">
                  <c:v>4.7629999999999999</c:v>
                </c:pt>
                <c:pt idx="80">
                  <c:v>10.972</c:v>
                </c:pt>
                <c:pt idx="81">
                  <c:v>4.8949999999999996</c:v>
                </c:pt>
                <c:pt idx="82">
                  <c:v>1.9379999999999999</c:v>
                </c:pt>
                <c:pt idx="83">
                  <c:v>3.4489999999999998</c:v>
                </c:pt>
                <c:pt idx="84">
                  <c:v>4.5659999999999998</c:v>
                </c:pt>
                <c:pt idx="85">
                  <c:v>5.9459999999999997</c:v>
                </c:pt>
                <c:pt idx="86">
                  <c:v>2.8250000000000002</c:v>
                </c:pt>
                <c:pt idx="87">
                  <c:v>4.7960000000000003</c:v>
                </c:pt>
                <c:pt idx="88">
                  <c:v>2.464</c:v>
                </c:pt>
                <c:pt idx="89">
                  <c:v>5.2229999999999999</c:v>
                </c:pt>
                <c:pt idx="90">
                  <c:v>2.3319999999999999</c:v>
                </c:pt>
                <c:pt idx="91">
                  <c:v>4.8289999999999997</c:v>
                </c:pt>
                <c:pt idx="92">
                  <c:v>2.694</c:v>
                </c:pt>
                <c:pt idx="93">
                  <c:v>4.5010000000000003</c:v>
                </c:pt>
                <c:pt idx="94">
                  <c:v>2.661</c:v>
                </c:pt>
                <c:pt idx="95">
                  <c:v>4.7309999999999999</c:v>
                </c:pt>
                <c:pt idx="96">
                  <c:v>2.234</c:v>
                </c:pt>
                <c:pt idx="97">
                  <c:v>4.5010000000000003</c:v>
                </c:pt>
                <c:pt idx="98">
                  <c:v>4.7309999999999999</c:v>
                </c:pt>
                <c:pt idx="99">
                  <c:v>4.5339999999999998</c:v>
                </c:pt>
                <c:pt idx="100">
                  <c:v>4.5990000000000002</c:v>
                </c:pt>
                <c:pt idx="101">
                  <c:v>2.76</c:v>
                </c:pt>
                <c:pt idx="102">
                  <c:v>5.0590000000000002</c:v>
                </c:pt>
                <c:pt idx="103">
                  <c:v>4.7309999999999999</c:v>
                </c:pt>
                <c:pt idx="104">
                  <c:v>4.0739999999999998</c:v>
                </c:pt>
                <c:pt idx="105">
                  <c:v>2.694</c:v>
                </c:pt>
                <c:pt idx="106">
                  <c:v>4.5659999999999998</c:v>
                </c:pt>
                <c:pt idx="107">
                  <c:v>2.76</c:v>
                </c:pt>
                <c:pt idx="108">
                  <c:v>4.7309999999999999</c:v>
                </c:pt>
                <c:pt idx="109">
                  <c:v>2.6280000000000001</c:v>
                </c:pt>
                <c:pt idx="110">
                  <c:v>2.1349999999999998</c:v>
                </c:pt>
                <c:pt idx="111">
                  <c:v>10.02</c:v>
                </c:pt>
                <c:pt idx="112">
                  <c:v>2.431</c:v>
                </c:pt>
                <c:pt idx="113">
                  <c:v>2.234</c:v>
                </c:pt>
              </c:numCache>
            </c:numRef>
          </c:xVal>
          <c:yVal>
            <c:numRef>
              <c:f>'[Sensory Threshold.xlsx]A or S 1T'!$B$1:$B$110</c:f>
              <c:numCache>
                <c:formatCode>General</c:formatCode>
                <c:ptCount val="110"/>
                <c:pt idx="0">
                  <c:v>12</c:v>
                </c:pt>
                <c:pt idx="1">
                  <c:v>10</c:v>
                </c:pt>
                <c:pt idx="2">
                  <c:v>12</c:v>
                </c:pt>
                <c:pt idx="3">
                  <c:v>9</c:v>
                </c:pt>
                <c:pt idx="4">
                  <c:v>10</c:v>
                </c:pt>
                <c:pt idx="5">
                  <c:v>11</c:v>
                </c:pt>
                <c:pt idx="6">
                  <c:v>7</c:v>
                </c:pt>
                <c:pt idx="7">
                  <c:v>14</c:v>
                </c:pt>
                <c:pt idx="8">
                  <c:v>12</c:v>
                </c:pt>
                <c:pt idx="9">
                  <c:v>19</c:v>
                </c:pt>
                <c:pt idx="10">
                  <c:v>7</c:v>
                </c:pt>
                <c:pt idx="11">
                  <c:v>13</c:v>
                </c:pt>
                <c:pt idx="12">
                  <c:v>12</c:v>
                </c:pt>
                <c:pt idx="13">
                  <c:v>13</c:v>
                </c:pt>
                <c:pt idx="14">
                  <c:v>10</c:v>
                </c:pt>
                <c:pt idx="15">
                  <c:v>12</c:v>
                </c:pt>
                <c:pt idx="16">
                  <c:v>13</c:v>
                </c:pt>
                <c:pt idx="17">
                  <c:v>15</c:v>
                </c:pt>
                <c:pt idx="18">
                  <c:v>14</c:v>
                </c:pt>
                <c:pt idx="19">
                  <c:v>10</c:v>
                </c:pt>
                <c:pt idx="20">
                  <c:v>12</c:v>
                </c:pt>
                <c:pt idx="21">
                  <c:v>8</c:v>
                </c:pt>
                <c:pt idx="22">
                  <c:v>9</c:v>
                </c:pt>
                <c:pt idx="23">
                  <c:v>14</c:v>
                </c:pt>
                <c:pt idx="24">
                  <c:v>12</c:v>
                </c:pt>
                <c:pt idx="25">
                  <c:v>10</c:v>
                </c:pt>
                <c:pt idx="26">
                  <c:v>9</c:v>
                </c:pt>
                <c:pt idx="27">
                  <c:v>8</c:v>
                </c:pt>
                <c:pt idx="28">
                  <c:v>17</c:v>
                </c:pt>
                <c:pt idx="29">
                  <c:v>14</c:v>
                </c:pt>
                <c:pt idx="30">
                  <c:v>6</c:v>
                </c:pt>
                <c:pt idx="31">
                  <c:v>9</c:v>
                </c:pt>
                <c:pt idx="32">
                  <c:v>12</c:v>
                </c:pt>
                <c:pt idx="33">
                  <c:v>13</c:v>
                </c:pt>
                <c:pt idx="34">
                  <c:v>14</c:v>
                </c:pt>
                <c:pt idx="35">
                  <c:v>11</c:v>
                </c:pt>
                <c:pt idx="36">
                  <c:v>9</c:v>
                </c:pt>
                <c:pt idx="37">
                  <c:v>12</c:v>
                </c:pt>
                <c:pt idx="38">
                  <c:v>14</c:v>
                </c:pt>
                <c:pt idx="39">
                  <c:v>10</c:v>
                </c:pt>
                <c:pt idx="40">
                  <c:v>11</c:v>
                </c:pt>
                <c:pt idx="41">
                  <c:v>13</c:v>
                </c:pt>
                <c:pt idx="42">
                  <c:v>16</c:v>
                </c:pt>
                <c:pt idx="43">
                  <c:v>14</c:v>
                </c:pt>
                <c:pt idx="44">
                  <c:v>15</c:v>
                </c:pt>
                <c:pt idx="45">
                  <c:v>8</c:v>
                </c:pt>
                <c:pt idx="46">
                  <c:v>8</c:v>
                </c:pt>
                <c:pt idx="47">
                  <c:v>8</c:v>
                </c:pt>
                <c:pt idx="48">
                  <c:v>13</c:v>
                </c:pt>
                <c:pt idx="49">
                  <c:v>10</c:v>
                </c:pt>
                <c:pt idx="50">
                  <c:v>14</c:v>
                </c:pt>
                <c:pt idx="51">
                  <c:v>10</c:v>
                </c:pt>
                <c:pt idx="52">
                  <c:v>15</c:v>
                </c:pt>
                <c:pt idx="53">
                  <c:v>9</c:v>
                </c:pt>
                <c:pt idx="54">
                  <c:v>8</c:v>
                </c:pt>
                <c:pt idx="55">
                  <c:v>14</c:v>
                </c:pt>
                <c:pt idx="56">
                  <c:v>10</c:v>
                </c:pt>
                <c:pt idx="57">
                  <c:v>6</c:v>
                </c:pt>
                <c:pt idx="58">
                  <c:v>10</c:v>
                </c:pt>
                <c:pt idx="59">
                  <c:v>12</c:v>
                </c:pt>
                <c:pt idx="60">
                  <c:v>6</c:v>
                </c:pt>
                <c:pt idx="61">
                  <c:v>10</c:v>
                </c:pt>
                <c:pt idx="62">
                  <c:v>14</c:v>
                </c:pt>
                <c:pt idx="63">
                  <c:v>10</c:v>
                </c:pt>
                <c:pt idx="64">
                  <c:v>12</c:v>
                </c:pt>
                <c:pt idx="65">
                  <c:v>12</c:v>
                </c:pt>
                <c:pt idx="66">
                  <c:v>10</c:v>
                </c:pt>
                <c:pt idx="67">
                  <c:v>7</c:v>
                </c:pt>
                <c:pt idx="68">
                  <c:v>11</c:v>
                </c:pt>
                <c:pt idx="69">
                  <c:v>9</c:v>
                </c:pt>
                <c:pt idx="70">
                  <c:v>9</c:v>
                </c:pt>
                <c:pt idx="71">
                  <c:v>7</c:v>
                </c:pt>
                <c:pt idx="72">
                  <c:v>9</c:v>
                </c:pt>
                <c:pt idx="73">
                  <c:v>12</c:v>
                </c:pt>
                <c:pt idx="74">
                  <c:v>12</c:v>
                </c:pt>
                <c:pt idx="75">
                  <c:v>12</c:v>
                </c:pt>
                <c:pt idx="76">
                  <c:v>14</c:v>
                </c:pt>
                <c:pt idx="77">
                  <c:v>4</c:v>
                </c:pt>
                <c:pt idx="78">
                  <c:v>10</c:v>
                </c:pt>
                <c:pt idx="79">
                  <c:v>15</c:v>
                </c:pt>
                <c:pt idx="80">
                  <c:v>13</c:v>
                </c:pt>
                <c:pt idx="81">
                  <c:v>16</c:v>
                </c:pt>
                <c:pt idx="82">
                  <c:v>9</c:v>
                </c:pt>
                <c:pt idx="83">
                  <c:v>13</c:v>
                </c:pt>
                <c:pt idx="84">
                  <c:v>13</c:v>
                </c:pt>
                <c:pt idx="85">
                  <c:v>9</c:v>
                </c:pt>
                <c:pt idx="86">
                  <c:v>10</c:v>
                </c:pt>
                <c:pt idx="87">
                  <c:v>7</c:v>
                </c:pt>
                <c:pt idx="88">
                  <c:v>10</c:v>
                </c:pt>
                <c:pt idx="89">
                  <c:v>10</c:v>
                </c:pt>
                <c:pt idx="90">
                  <c:v>9</c:v>
                </c:pt>
                <c:pt idx="91">
                  <c:v>9</c:v>
                </c:pt>
                <c:pt idx="92">
                  <c:v>12</c:v>
                </c:pt>
                <c:pt idx="93">
                  <c:v>9</c:v>
                </c:pt>
                <c:pt idx="94">
                  <c:v>9</c:v>
                </c:pt>
                <c:pt idx="95">
                  <c:v>13</c:v>
                </c:pt>
                <c:pt idx="96">
                  <c:v>10</c:v>
                </c:pt>
                <c:pt idx="97">
                  <c:v>11</c:v>
                </c:pt>
                <c:pt idx="98">
                  <c:v>9</c:v>
                </c:pt>
                <c:pt idx="99">
                  <c:v>8</c:v>
                </c:pt>
                <c:pt idx="100">
                  <c:v>12</c:v>
                </c:pt>
                <c:pt idx="101">
                  <c:v>8</c:v>
                </c:pt>
                <c:pt idx="102">
                  <c:v>16</c:v>
                </c:pt>
                <c:pt idx="103">
                  <c:v>16</c:v>
                </c:pt>
                <c:pt idx="104">
                  <c:v>12</c:v>
                </c:pt>
                <c:pt idx="105">
                  <c:v>9</c:v>
                </c:pt>
                <c:pt idx="106">
                  <c:v>12</c:v>
                </c:pt>
                <c:pt idx="107">
                  <c:v>8</c:v>
                </c:pt>
                <c:pt idx="108">
                  <c:v>15</c:v>
                </c:pt>
                <c:pt idx="109">
                  <c:v>9</c:v>
                </c:pt>
              </c:numCache>
            </c:numRef>
          </c:yVal>
          <c:smooth val="0"/>
          <c:extLst>
            <c:ext xmlns:c16="http://schemas.microsoft.com/office/drawing/2014/chart" uri="{C3380CC4-5D6E-409C-BE32-E72D297353CC}">
              <c16:uniqueId val="{00000001-C4D4-40A8-932E-9C002A90773B}"/>
            </c:ext>
          </c:extLst>
        </c:ser>
        <c:ser>
          <c:idx val="1"/>
          <c:order val="1"/>
          <c:tx>
            <c:v>Sleep</c:v>
          </c:tx>
          <c:spPr>
            <a:ln w="25400" cap="rnd">
              <a:noFill/>
              <a:round/>
            </a:ln>
            <a:effectLst/>
          </c:spPr>
          <c:marker>
            <c:symbol val="circle"/>
            <c:size val="5"/>
            <c:spPr>
              <a:solidFill>
                <a:schemeClr val="accent2"/>
              </a:solidFill>
              <a:ln w="6350">
                <a:solidFill>
                  <a:schemeClr val="accent2"/>
                </a:solidFill>
              </a:ln>
              <a:effectLst/>
            </c:spPr>
          </c:marker>
          <c:trendline>
            <c:spPr>
              <a:ln w="28575" cap="rnd">
                <a:solidFill>
                  <a:schemeClr val="accent2"/>
                </a:solidFill>
                <a:prstDash val="solid"/>
              </a:ln>
              <a:effectLst/>
            </c:spPr>
            <c:trendlineType val="poly"/>
            <c:order val="2"/>
            <c:dispRSqr val="0"/>
            <c:dispEq val="0"/>
          </c:trendline>
          <c:xVal>
            <c:numRef>
              <c:f>'[Sensory Threshold.xlsx]A or S 1T'!$A$111:$A$131</c:f>
              <c:numCache>
                <c:formatCode>General</c:formatCode>
                <c:ptCount val="21"/>
                <c:pt idx="0">
                  <c:v>2.1349999999999998</c:v>
                </c:pt>
                <c:pt idx="1">
                  <c:v>10.02</c:v>
                </c:pt>
                <c:pt idx="2">
                  <c:v>2.431</c:v>
                </c:pt>
                <c:pt idx="3">
                  <c:v>2.234</c:v>
                </c:pt>
                <c:pt idx="4">
                  <c:v>1.9710000000000001</c:v>
                </c:pt>
                <c:pt idx="5">
                  <c:v>10.02</c:v>
                </c:pt>
                <c:pt idx="6">
                  <c:v>1.9710000000000001</c:v>
                </c:pt>
                <c:pt idx="7">
                  <c:v>2.1353482260184</c:v>
                </c:pt>
                <c:pt idx="8">
                  <c:v>2.1353482260184</c:v>
                </c:pt>
                <c:pt idx="9">
                  <c:v>1.8069999999999999</c:v>
                </c:pt>
                <c:pt idx="10">
                  <c:v>2.1349999999999998</c:v>
                </c:pt>
                <c:pt idx="11">
                  <c:v>3.1869999999999998</c:v>
                </c:pt>
                <c:pt idx="12">
                  <c:v>3.0550000000000002</c:v>
                </c:pt>
                <c:pt idx="13">
                  <c:v>1.84</c:v>
                </c:pt>
                <c:pt idx="14">
                  <c:v>2.5950000000000002</c:v>
                </c:pt>
                <c:pt idx="15">
                  <c:v>2.1019999999999999</c:v>
                </c:pt>
                <c:pt idx="16">
                  <c:v>2.2669999999999999</c:v>
                </c:pt>
                <c:pt idx="17">
                  <c:v>2.2010000000000001</c:v>
                </c:pt>
                <c:pt idx="18">
                  <c:v>4.6319999999999997</c:v>
                </c:pt>
                <c:pt idx="19">
                  <c:v>5.3220000000000001</c:v>
                </c:pt>
                <c:pt idx="20">
                  <c:v>2.004</c:v>
                </c:pt>
              </c:numCache>
            </c:numRef>
          </c:xVal>
          <c:yVal>
            <c:numRef>
              <c:f>'[Sensory Threshold.xlsx]A or S 1T'!$B$111:$B$131</c:f>
              <c:numCache>
                <c:formatCode>General</c:formatCode>
                <c:ptCount val="21"/>
                <c:pt idx="0">
                  <c:v>9</c:v>
                </c:pt>
                <c:pt idx="1">
                  <c:v>11</c:v>
                </c:pt>
                <c:pt idx="2">
                  <c:v>6</c:v>
                </c:pt>
                <c:pt idx="3">
                  <c:v>11</c:v>
                </c:pt>
                <c:pt idx="4">
                  <c:v>9</c:v>
                </c:pt>
                <c:pt idx="5">
                  <c:v>12</c:v>
                </c:pt>
                <c:pt idx="6">
                  <c:v>9</c:v>
                </c:pt>
                <c:pt idx="7">
                  <c:v>10</c:v>
                </c:pt>
                <c:pt idx="8">
                  <c:v>10</c:v>
                </c:pt>
                <c:pt idx="9">
                  <c:v>7</c:v>
                </c:pt>
                <c:pt idx="10">
                  <c:v>9</c:v>
                </c:pt>
                <c:pt idx="11">
                  <c:v>10</c:v>
                </c:pt>
                <c:pt idx="12">
                  <c:v>10</c:v>
                </c:pt>
                <c:pt idx="13">
                  <c:v>13</c:v>
                </c:pt>
                <c:pt idx="14">
                  <c:v>13</c:v>
                </c:pt>
                <c:pt idx="15">
                  <c:v>16</c:v>
                </c:pt>
                <c:pt idx="16">
                  <c:v>9</c:v>
                </c:pt>
                <c:pt idx="17">
                  <c:v>9</c:v>
                </c:pt>
                <c:pt idx="18">
                  <c:v>10</c:v>
                </c:pt>
                <c:pt idx="19">
                  <c:v>12</c:v>
                </c:pt>
                <c:pt idx="20">
                  <c:v>9</c:v>
                </c:pt>
              </c:numCache>
            </c:numRef>
          </c:yVal>
          <c:smooth val="0"/>
          <c:extLst>
            <c:ext xmlns:c16="http://schemas.microsoft.com/office/drawing/2014/chart" uri="{C3380CC4-5D6E-409C-BE32-E72D297353CC}">
              <c16:uniqueId val="{00000003-C4D4-40A8-932E-9C002A90773B}"/>
            </c:ext>
          </c:extLst>
        </c:ser>
        <c:dLbls>
          <c:showLegendKey val="0"/>
          <c:showVal val="0"/>
          <c:showCatName val="0"/>
          <c:showSerName val="0"/>
          <c:showPercent val="0"/>
          <c:showBubbleSize val="0"/>
        </c:dLbls>
        <c:axId val="186992735"/>
        <c:axId val="183421183"/>
      </c:scatterChart>
      <c:valAx>
        <c:axId val="186992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100">
                    <a:latin typeface="Nirmala UI" panose="020B0502040204020203" pitchFamily="34" charset="0"/>
                    <a:ea typeface="Nirmala UI" panose="020B0502040204020203" pitchFamily="34" charset="0"/>
                    <a:cs typeface="Nirmala UI" panose="020B0502040204020203" pitchFamily="34" charset="0"/>
                  </a:rPr>
                  <a:t>Age at Study (months)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crossAx val="183421183"/>
        <c:crosses val="autoZero"/>
        <c:crossBetween val="midCat"/>
        <c:majorUnit val="2"/>
      </c:valAx>
      <c:valAx>
        <c:axId val="18342118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100">
                    <a:latin typeface="Nirmala UI" panose="020B0502040204020203" pitchFamily="34" charset="0"/>
                    <a:ea typeface="Nirmala UI" panose="020B0502040204020203" pitchFamily="34" charset="0"/>
                    <a:cs typeface="Nirmala UI" panose="020B0502040204020203" pitchFamily="34" charset="0"/>
                  </a:rPr>
                  <a:t>Sensory Threshold</a:t>
                </a:r>
                <a:r>
                  <a:rPr lang="en-US" sz="1100" baseline="0">
                    <a:latin typeface="Nirmala UI" panose="020B0502040204020203" pitchFamily="34" charset="0"/>
                    <a:ea typeface="Nirmala UI" panose="020B0502040204020203" pitchFamily="34" charset="0"/>
                    <a:cs typeface="Nirmala UI" panose="020B0502040204020203" pitchFamily="34" charset="0"/>
                  </a:rPr>
                  <a:t> (Level)</a:t>
                </a:r>
                <a:endParaRPr lang="en-US" sz="1100">
                  <a:latin typeface="Nirmala UI" panose="020B0502040204020203" pitchFamily="34" charset="0"/>
                  <a:ea typeface="Nirmala UI" panose="020B0502040204020203" pitchFamily="34" charset="0"/>
                  <a:cs typeface="Nirmala UI" panose="020B0502040204020203" pitchFamily="34" charset="0"/>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2735"/>
        <c:crosses val="autoZero"/>
        <c:crossBetween val="midCat"/>
        <c:majorUnit val="2"/>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800" b="1">
                <a:latin typeface="Nirmala UI" panose="020B0502040204020203" pitchFamily="34" charset="0"/>
                <a:ea typeface="Nirmala UI" panose="020B0502040204020203" pitchFamily="34" charset="0"/>
                <a:cs typeface="Nirmala UI" panose="020B0502040204020203" pitchFamily="34" charset="0"/>
              </a:rPr>
              <a:t>Effect of</a:t>
            </a:r>
            <a:r>
              <a:rPr lang="en-US" sz="1800" b="1" baseline="0">
                <a:latin typeface="Nirmala UI" panose="020B0502040204020203" pitchFamily="34" charset="0"/>
                <a:ea typeface="Nirmala UI" panose="020B0502040204020203" pitchFamily="34" charset="0"/>
                <a:cs typeface="Nirmala UI" panose="020B0502040204020203" pitchFamily="34" charset="0"/>
              </a:rPr>
              <a:t> NICU Experience on Sensory Thresholds</a:t>
            </a:r>
            <a:endParaRPr lang="en-US" sz="1800" b="1">
              <a:latin typeface="Nirmala UI" panose="020B0502040204020203" pitchFamily="34" charset="0"/>
              <a:ea typeface="Nirmala UI" panose="020B0502040204020203" pitchFamily="34" charset="0"/>
              <a:cs typeface="Nirmala UI" panose="020B0502040204020203" pitchFamily="34" charset="0"/>
            </a:endParaRP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autoTitleDeleted val="0"/>
    <c:plotArea>
      <c:layout/>
      <c:scatterChart>
        <c:scatterStyle val="lineMarker"/>
        <c:varyColors val="0"/>
        <c:ser>
          <c:idx val="0"/>
          <c:order val="0"/>
          <c:tx>
            <c:v>No Hospital Stay</c:v>
          </c:tx>
          <c:spPr>
            <a:ln w="25400" cap="rnd">
              <a:noFill/>
              <a:round/>
            </a:ln>
            <a:effectLst/>
          </c:spPr>
          <c:marker>
            <c:symbol val="circle"/>
            <c:size val="5"/>
            <c:spPr>
              <a:solidFill>
                <a:schemeClr val="accent1"/>
              </a:solidFill>
              <a:ln w="15875">
                <a:solidFill>
                  <a:schemeClr val="accent1"/>
                </a:solidFill>
              </a:ln>
              <a:effectLst/>
            </c:spPr>
          </c:marker>
          <c:trendline>
            <c:spPr>
              <a:ln w="28575" cap="rnd">
                <a:solidFill>
                  <a:schemeClr val="accent1"/>
                </a:solidFill>
                <a:prstDash val="solid"/>
              </a:ln>
              <a:effectLst/>
            </c:spPr>
            <c:trendlineType val="poly"/>
            <c:order val="2"/>
            <c:dispRSqr val="0"/>
            <c:dispEq val="0"/>
          </c:trendline>
          <c:xVal>
            <c:numRef>
              <c:f>'[Sensory Threshold.xlsx]NICU'!$A$5:$A$63</c:f>
              <c:numCache>
                <c:formatCode>General</c:formatCode>
                <c:ptCount val="59"/>
                <c:pt idx="0">
                  <c:v>3.9089999999999998</c:v>
                </c:pt>
                <c:pt idx="1">
                  <c:v>2.234</c:v>
                </c:pt>
                <c:pt idx="2">
                  <c:v>4.8620000000000001</c:v>
                </c:pt>
                <c:pt idx="3">
                  <c:v>1.9710000000000001</c:v>
                </c:pt>
                <c:pt idx="4">
                  <c:v>4.5010000000000003</c:v>
                </c:pt>
                <c:pt idx="5">
                  <c:v>6.11</c:v>
                </c:pt>
                <c:pt idx="6">
                  <c:v>10.02</c:v>
                </c:pt>
                <c:pt idx="7">
                  <c:v>2.9889999999999999</c:v>
                </c:pt>
                <c:pt idx="8">
                  <c:v>4.8620000000000001</c:v>
                </c:pt>
                <c:pt idx="9">
                  <c:v>1.9710000000000001</c:v>
                </c:pt>
                <c:pt idx="10">
                  <c:v>4.7629999999999999</c:v>
                </c:pt>
                <c:pt idx="11">
                  <c:v>2.004</c:v>
                </c:pt>
                <c:pt idx="12">
                  <c:v>4.665</c:v>
                </c:pt>
                <c:pt idx="13">
                  <c:v>10.644</c:v>
                </c:pt>
                <c:pt idx="14">
                  <c:v>2.2010000000000001</c:v>
                </c:pt>
                <c:pt idx="15">
                  <c:v>4.2050000000000001</c:v>
                </c:pt>
                <c:pt idx="16">
                  <c:v>2.9889999999999999</c:v>
                </c:pt>
                <c:pt idx="17">
                  <c:v>4.5990000000000002</c:v>
                </c:pt>
                <c:pt idx="18">
                  <c:v>2.3319999999999999</c:v>
                </c:pt>
                <c:pt idx="19">
                  <c:v>5.0919999999999996</c:v>
                </c:pt>
                <c:pt idx="20">
                  <c:v>2.1019999999999999</c:v>
                </c:pt>
                <c:pt idx="21">
                  <c:v>2.1353482260184</c:v>
                </c:pt>
                <c:pt idx="22">
                  <c:v>5.0259999999999998</c:v>
                </c:pt>
                <c:pt idx="23">
                  <c:v>10.775</c:v>
                </c:pt>
                <c:pt idx="24">
                  <c:v>2.4969999999999999</c:v>
                </c:pt>
                <c:pt idx="25">
                  <c:v>4.5659999999999998</c:v>
                </c:pt>
                <c:pt idx="26">
                  <c:v>10.085000000000001</c:v>
                </c:pt>
                <c:pt idx="27">
                  <c:v>2.004</c:v>
                </c:pt>
                <c:pt idx="28">
                  <c:v>4.7960000000000003</c:v>
                </c:pt>
                <c:pt idx="29">
                  <c:v>10.545</c:v>
                </c:pt>
                <c:pt idx="30">
                  <c:v>2.5950000000000002</c:v>
                </c:pt>
                <c:pt idx="31">
                  <c:v>4.9610000000000003</c:v>
                </c:pt>
                <c:pt idx="32">
                  <c:v>2.004</c:v>
                </c:pt>
                <c:pt idx="33">
                  <c:v>4.5659999999999998</c:v>
                </c:pt>
                <c:pt idx="34">
                  <c:v>10.282999999999999</c:v>
                </c:pt>
                <c:pt idx="35">
                  <c:v>2.004</c:v>
                </c:pt>
                <c:pt idx="36">
                  <c:v>4.7629999999999999</c:v>
                </c:pt>
                <c:pt idx="37">
                  <c:v>10.512</c:v>
                </c:pt>
                <c:pt idx="38">
                  <c:v>2.0699999999999998</c:v>
                </c:pt>
                <c:pt idx="39">
                  <c:v>4.4349999999999996</c:v>
                </c:pt>
                <c:pt idx="40">
                  <c:v>10.348000000000001</c:v>
                </c:pt>
                <c:pt idx="41">
                  <c:v>2.004</c:v>
                </c:pt>
                <c:pt idx="42">
                  <c:v>4.7629999999999999</c:v>
                </c:pt>
                <c:pt idx="43">
                  <c:v>10.053000000000001</c:v>
                </c:pt>
                <c:pt idx="44">
                  <c:v>2.3319999999999999</c:v>
                </c:pt>
                <c:pt idx="45">
                  <c:v>4.7629999999999999</c:v>
                </c:pt>
                <c:pt idx="46">
                  <c:v>10.972</c:v>
                </c:pt>
                <c:pt idx="47">
                  <c:v>1.9379999999999999</c:v>
                </c:pt>
                <c:pt idx="48">
                  <c:v>1.84</c:v>
                </c:pt>
                <c:pt idx="49">
                  <c:v>5.9459999999999997</c:v>
                </c:pt>
                <c:pt idx="50">
                  <c:v>2.3319999999999999</c:v>
                </c:pt>
                <c:pt idx="51">
                  <c:v>4.8289999999999997</c:v>
                </c:pt>
                <c:pt idx="52">
                  <c:v>2.5950000000000002</c:v>
                </c:pt>
                <c:pt idx="53">
                  <c:v>2.1019999999999999</c:v>
                </c:pt>
                <c:pt idx="54">
                  <c:v>4.5990000000000002</c:v>
                </c:pt>
                <c:pt idx="55">
                  <c:v>2.2010000000000001</c:v>
                </c:pt>
                <c:pt idx="56">
                  <c:v>4.7309999999999999</c:v>
                </c:pt>
                <c:pt idx="57">
                  <c:v>2.694</c:v>
                </c:pt>
                <c:pt idx="58">
                  <c:v>4.5659999999999998</c:v>
                </c:pt>
              </c:numCache>
            </c:numRef>
          </c:xVal>
          <c:yVal>
            <c:numRef>
              <c:f>'[Sensory Threshold.xlsx]NICU'!$B$1:$B$63</c:f>
              <c:numCache>
                <c:formatCode>General</c:formatCode>
                <c:ptCount val="63"/>
                <c:pt idx="0">
                  <c:v>10</c:v>
                </c:pt>
                <c:pt idx="1">
                  <c:v>10.5</c:v>
                </c:pt>
                <c:pt idx="2">
                  <c:v>11</c:v>
                </c:pt>
                <c:pt idx="3">
                  <c:v>6</c:v>
                </c:pt>
                <c:pt idx="4">
                  <c:v>7.5</c:v>
                </c:pt>
                <c:pt idx="5">
                  <c:v>12</c:v>
                </c:pt>
                <c:pt idx="6">
                  <c:v>13</c:v>
                </c:pt>
                <c:pt idx="7">
                  <c:v>9.5</c:v>
                </c:pt>
                <c:pt idx="8">
                  <c:v>14.5</c:v>
                </c:pt>
                <c:pt idx="9">
                  <c:v>14.5</c:v>
                </c:pt>
                <c:pt idx="10">
                  <c:v>12</c:v>
                </c:pt>
                <c:pt idx="11">
                  <c:v>9</c:v>
                </c:pt>
                <c:pt idx="12">
                  <c:v>14.5</c:v>
                </c:pt>
                <c:pt idx="13">
                  <c:v>8.5</c:v>
                </c:pt>
                <c:pt idx="14">
                  <c:v>11</c:v>
                </c:pt>
                <c:pt idx="15">
                  <c:v>9.5</c:v>
                </c:pt>
                <c:pt idx="16">
                  <c:v>8</c:v>
                </c:pt>
                <c:pt idx="17">
                  <c:v>8.5</c:v>
                </c:pt>
                <c:pt idx="18">
                  <c:v>16.5</c:v>
                </c:pt>
                <c:pt idx="19">
                  <c:v>15.5</c:v>
                </c:pt>
                <c:pt idx="20">
                  <c:v>12</c:v>
                </c:pt>
                <c:pt idx="21">
                  <c:v>13</c:v>
                </c:pt>
                <c:pt idx="22">
                  <c:v>15.5</c:v>
                </c:pt>
                <c:pt idx="23">
                  <c:v>11.5</c:v>
                </c:pt>
                <c:pt idx="24">
                  <c:v>9</c:v>
                </c:pt>
                <c:pt idx="25">
                  <c:v>11</c:v>
                </c:pt>
                <c:pt idx="26">
                  <c:v>16</c:v>
                </c:pt>
                <c:pt idx="27">
                  <c:v>14.5</c:v>
                </c:pt>
                <c:pt idx="28">
                  <c:v>14.5</c:v>
                </c:pt>
                <c:pt idx="29">
                  <c:v>7</c:v>
                </c:pt>
                <c:pt idx="30">
                  <c:v>7.5</c:v>
                </c:pt>
                <c:pt idx="31">
                  <c:v>8.5</c:v>
                </c:pt>
                <c:pt idx="32">
                  <c:v>12.5</c:v>
                </c:pt>
                <c:pt idx="33">
                  <c:v>9.5</c:v>
                </c:pt>
                <c:pt idx="34">
                  <c:v>10</c:v>
                </c:pt>
                <c:pt idx="35">
                  <c:v>15</c:v>
                </c:pt>
                <c:pt idx="36">
                  <c:v>13</c:v>
                </c:pt>
                <c:pt idx="37">
                  <c:v>10</c:v>
                </c:pt>
                <c:pt idx="38">
                  <c:v>5.5</c:v>
                </c:pt>
                <c:pt idx="39">
                  <c:v>10.5</c:v>
                </c:pt>
                <c:pt idx="40">
                  <c:v>12</c:v>
                </c:pt>
                <c:pt idx="41">
                  <c:v>6</c:v>
                </c:pt>
                <c:pt idx="42">
                  <c:v>10.5</c:v>
                </c:pt>
                <c:pt idx="43">
                  <c:v>7</c:v>
                </c:pt>
                <c:pt idx="44">
                  <c:v>10.5</c:v>
                </c:pt>
                <c:pt idx="45">
                  <c:v>8.5</c:v>
                </c:pt>
                <c:pt idx="46">
                  <c:v>12</c:v>
                </c:pt>
                <c:pt idx="47">
                  <c:v>13</c:v>
                </c:pt>
                <c:pt idx="48">
                  <c:v>9.5</c:v>
                </c:pt>
                <c:pt idx="49">
                  <c:v>14.5</c:v>
                </c:pt>
                <c:pt idx="50">
                  <c:v>12</c:v>
                </c:pt>
                <c:pt idx="51">
                  <c:v>9</c:v>
                </c:pt>
                <c:pt idx="52">
                  <c:v>14</c:v>
                </c:pt>
                <c:pt idx="53">
                  <c:v>10</c:v>
                </c:pt>
                <c:pt idx="54">
                  <c:v>9</c:v>
                </c:pt>
                <c:pt idx="55">
                  <c:v>9.5</c:v>
                </c:pt>
                <c:pt idx="56">
                  <c:v>13.5</c:v>
                </c:pt>
                <c:pt idx="57">
                  <c:v>15.5</c:v>
                </c:pt>
                <c:pt idx="58">
                  <c:v>12.5</c:v>
                </c:pt>
                <c:pt idx="59">
                  <c:v>9</c:v>
                </c:pt>
                <c:pt idx="60">
                  <c:v>17</c:v>
                </c:pt>
                <c:pt idx="61">
                  <c:v>9</c:v>
                </c:pt>
                <c:pt idx="62">
                  <c:v>14</c:v>
                </c:pt>
              </c:numCache>
            </c:numRef>
          </c:yVal>
          <c:smooth val="0"/>
          <c:extLst>
            <c:ext xmlns:c16="http://schemas.microsoft.com/office/drawing/2014/chart" uri="{C3380CC4-5D6E-409C-BE32-E72D297353CC}">
              <c16:uniqueId val="{00000001-EF53-4AB9-8FE2-73E8C1C568FF}"/>
            </c:ext>
          </c:extLst>
        </c:ser>
        <c:ser>
          <c:idx val="1"/>
          <c:order val="1"/>
          <c:tx>
            <c:v>Hospital Stay</c:v>
          </c:tx>
          <c:spPr>
            <a:ln w="25400" cap="rnd">
              <a:noFill/>
              <a:round/>
            </a:ln>
            <a:effectLst/>
          </c:spPr>
          <c:marker>
            <c:symbol val="circle"/>
            <c:size val="5"/>
            <c:spPr>
              <a:solidFill>
                <a:schemeClr val="accent2"/>
              </a:solidFill>
              <a:ln w="15875">
                <a:solidFill>
                  <a:schemeClr val="accent2"/>
                </a:solidFill>
              </a:ln>
              <a:effectLst/>
            </c:spPr>
          </c:marker>
          <c:trendline>
            <c:spPr>
              <a:ln w="28575" cap="rnd">
                <a:solidFill>
                  <a:schemeClr val="accent2"/>
                </a:solidFill>
                <a:prstDash val="solid"/>
              </a:ln>
              <a:effectLst/>
            </c:spPr>
            <c:trendlineType val="poly"/>
            <c:order val="2"/>
            <c:dispRSqr val="0"/>
            <c:dispEq val="0"/>
          </c:trendline>
          <c:xVal>
            <c:numRef>
              <c:f>'[Sensory Threshold.xlsx]NICU'!$A$64:$A$131</c:f>
              <c:numCache>
                <c:formatCode>General</c:formatCode>
                <c:ptCount val="68"/>
                <c:pt idx="0">
                  <c:v>4.7629999999999999</c:v>
                </c:pt>
                <c:pt idx="1">
                  <c:v>2.0699999999999998</c:v>
                </c:pt>
                <c:pt idx="2">
                  <c:v>3.8759999999999999</c:v>
                </c:pt>
                <c:pt idx="3">
                  <c:v>3.3180000000000001</c:v>
                </c:pt>
                <c:pt idx="4">
                  <c:v>5.0590000000000002</c:v>
                </c:pt>
                <c:pt idx="5">
                  <c:v>10.282999999999999</c:v>
                </c:pt>
                <c:pt idx="6">
                  <c:v>4.5010000000000003</c:v>
                </c:pt>
                <c:pt idx="7">
                  <c:v>6.11</c:v>
                </c:pt>
                <c:pt idx="8">
                  <c:v>10.02</c:v>
                </c:pt>
                <c:pt idx="9">
                  <c:v>4.5339999999999998</c:v>
                </c:pt>
                <c:pt idx="10">
                  <c:v>2.1353482260184</c:v>
                </c:pt>
                <c:pt idx="11">
                  <c:v>5.0259999999999998</c:v>
                </c:pt>
                <c:pt idx="12">
                  <c:v>10.775</c:v>
                </c:pt>
                <c:pt idx="13">
                  <c:v>2.0699999999999998</c:v>
                </c:pt>
                <c:pt idx="14">
                  <c:v>10.577999999999999</c:v>
                </c:pt>
                <c:pt idx="15">
                  <c:v>3.351</c:v>
                </c:pt>
                <c:pt idx="16">
                  <c:v>4.665</c:v>
                </c:pt>
                <c:pt idx="17">
                  <c:v>9.9870000000000001</c:v>
                </c:pt>
                <c:pt idx="18">
                  <c:v>1.9379999999999999</c:v>
                </c:pt>
                <c:pt idx="19">
                  <c:v>10.907</c:v>
                </c:pt>
                <c:pt idx="20">
                  <c:v>2.9239999999999999</c:v>
                </c:pt>
                <c:pt idx="21">
                  <c:v>4.9930000000000003</c:v>
                </c:pt>
                <c:pt idx="22">
                  <c:v>10.02</c:v>
                </c:pt>
                <c:pt idx="23">
                  <c:v>3.1869999999999998</c:v>
                </c:pt>
                <c:pt idx="24">
                  <c:v>2.661</c:v>
                </c:pt>
                <c:pt idx="25">
                  <c:v>4.7309999999999999</c:v>
                </c:pt>
                <c:pt idx="26">
                  <c:v>4.0739999999999998</c:v>
                </c:pt>
                <c:pt idx="27">
                  <c:v>2.1349999999999998</c:v>
                </c:pt>
                <c:pt idx="28">
                  <c:v>3.7120000000000002</c:v>
                </c:pt>
                <c:pt idx="29">
                  <c:v>2.0699999999999998</c:v>
                </c:pt>
                <c:pt idx="30">
                  <c:v>3.8759999999999999</c:v>
                </c:pt>
                <c:pt idx="31">
                  <c:v>1.873</c:v>
                </c:pt>
                <c:pt idx="32">
                  <c:v>4.2380000000000004</c:v>
                </c:pt>
                <c:pt idx="33">
                  <c:v>2.1680000000000001</c:v>
                </c:pt>
                <c:pt idx="34">
                  <c:v>4.5010000000000003</c:v>
                </c:pt>
                <c:pt idx="35">
                  <c:v>10.677</c:v>
                </c:pt>
                <c:pt idx="36">
                  <c:v>2.1349999999999998</c:v>
                </c:pt>
                <c:pt idx="37">
                  <c:v>5.5190000000000001</c:v>
                </c:pt>
                <c:pt idx="38">
                  <c:v>2.1019999999999999</c:v>
                </c:pt>
                <c:pt idx="39">
                  <c:v>4.4020000000000001</c:v>
                </c:pt>
                <c:pt idx="40">
                  <c:v>4.665</c:v>
                </c:pt>
                <c:pt idx="41">
                  <c:v>2.3319999999999999</c:v>
                </c:pt>
                <c:pt idx="42">
                  <c:v>10.085000000000001</c:v>
                </c:pt>
                <c:pt idx="43">
                  <c:v>1.8069999999999999</c:v>
                </c:pt>
                <c:pt idx="44">
                  <c:v>10.775</c:v>
                </c:pt>
                <c:pt idx="45">
                  <c:v>2.1349999999999998</c:v>
                </c:pt>
                <c:pt idx="46">
                  <c:v>4.8949999999999996</c:v>
                </c:pt>
                <c:pt idx="47">
                  <c:v>3.4489999999999998</c:v>
                </c:pt>
                <c:pt idx="48">
                  <c:v>4.5659999999999998</c:v>
                </c:pt>
                <c:pt idx="49">
                  <c:v>3.0550000000000002</c:v>
                </c:pt>
                <c:pt idx="50">
                  <c:v>4.7960000000000003</c:v>
                </c:pt>
                <c:pt idx="51">
                  <c:v>2.464</c:v>
                </c:pt>
                <c:pt idx="52">
                  <c:v>5.2229999999999999</c:v>
                </c:pt>
                <c:pt idx="53">
                  <c:v>2.694</c:v>
                </c:pt>
                <c:pt idx="54">
                  <c:v>4.5010000000000003</c:v>
                </c:pt>
                <c:pt idx="55">
                  <c:v>2.234</c:v>
                </c:pt>
                <c:pt idx="56">
                  <c:v>4.5010000000000003</c:v>
                </c:pt>
                <c:pt idx="57">
                  <c:v>4.7309999999999999</c:v>
                </c:pt>
                <c:pt idx="58">
                  <c:v>2.2669999999999999</c:v>
                </c:pt>
                <c:pt idx="59">
                  <c:v>4.5339999999999998</c:v>
                </c:pt>
                <c:pt idx="60">
                  <c:v>2.76</c:v>
                </c:pt>
                <c:pt idx="61">
                  <c:v>5.0590000000000002</c:v>
                </c:pt>
                <c:pt idx="62">
                  <c:v>2.76</c:v>
                </c:pt>
                <c:pt idx="63">
                  <c:v>4.6319999999999997</c:v>
                </c:pt>
                <c:pt idx="64">
                  <c:v>5.3220000000000001</c:v>
                </c:pt>
                <c:pt idx="65">
                  <c:v>2.004</c:v>
                </c:pt>
                <c:pt idx="66">
                  <c:v>4.7309999999999999</c:v>
                </c:pt>
                <c:pt idx="67">
                  <c:v>2.6280000000000001</c:v>
                </c:pt>
              </c:numCache>
            </c:numRef>
          </c:xVal>
          <c:yVal>
            <c:numRef>
              <c:f>'[Sensory Threshold.xlsx]NICU'!$B$64:$B$131</c:f>
              <c:numCache>
                <c:formatCode>General</c:formatCode>
                <c:ptCount val="68"/>
                <c:pt idx="0">
                  <c:v>9.5</c:v>
                </c:pt>
                <c:pt idx="1">
                  <c:v>10.5</c:v>
                </c:pt>
                <c:pt idx="2">
                  <c:v>10</c:v>
                </c:pt>
                <c:pt idx="3">
                  <c:v>13.5</c:v>
                </c:pt>
                <c:pt idx="4">
                  <c:v>13</c:v>
                </c:pt>
                <c:pt idx="5">
                  <c:v>9</c:v>
                </c:pt>
                <c:pt idx="6">
                  <c:v>13.5</c:v>
                </c:pt>
                <c:pt idx="7">
                  <c:v>13</c:v>
                </c:pt>
                <c:pt idx="8">
                  <c:v>11.5</c:v>
                </c:pt>
                <c:pt idx="9">
                  <c:v>8.5</c:v>
                </c:pt>
                <c:pt idx="10">
                  <c:v>9.5</c:v>
                </c:pt>
                <c:pt idx="11">
                  <c:v>11.5</c:v>
                </c:pt>
                <c:pt idx="12">
                  <c:v>13</c:v>
                </c:pt>
                <c:pt idx="13">
                  <c:v>11</c:v>
                </c:pt>
                <c:pt idx="14">
                  <c:v>13.5</c:v>
                </c:pt>
                <c:pt idx="15">
                  <c:v>10.5</c:v>
                </c:pt>
                <c:pt idx="16">
                  <c:v>12.5</c:v>
                </c:pt>
                <c:pt idx="17">
                  <c:v>11</c:v>
                </c:pt>
                <c:pt idx="18">
                  <c:v>9</c:v>
                </c:pt>
                <c:pt idx="19">
                  <c:v>8</c:v>
                </c:pt>
                <c:pt idx="20">
                  <c:v>11.5</c:v>
                </c:pt>
                <c:pt idx="21">
                  <c:v>14</c:v>
                </c:pt>
                <c:pt idx="22">
                  <c:v>3.5</c:v>
                </c:pt>
                <c:pt idx="23">
                  <c:v>9.5</c:v>
                </c:pt>
                <c:pt idx="24">
                  <c:v>9</c:v>
                </c:pt>
                <c:pt idx="25">
                  <c:v>14</c:v>
                </c:pt>
                <c:pt idx="26">
                  <c:v>11</c:v>
                </c:pt>
                <c:pt idx="27">
                  <c:v>9.5</c:v>
                </c:pt>
                <c:pt idx="28">
                  <c:v>12</c:v>
                </c:pt>
                <c:pt idx="29">
                  <c:v>7</c:v>
                </c:pt>
                <c:pt idx="30">
                  <c:v>14.5</c:v>
                </c:pt>
                <c:pt idx="31">
                  <c:v>12</c:v>
                </c:pt>
                <c:pt idx="32">
                  <c:v>18.5</c:v>
                </c:pt>
                <c:pt idx="33">
                  <c:v>10</c:v>
                </c:pt>
                <c:pt idx="34">
                  <c:v>11.5</c:v>
                </c:pt>
                <c:pt idx="35">
                  <c:v>8</c:v>
                </c:pt>
                <c:pt idx="36">
                  <c:v>7</c:v>
                </c:pt>
                <c:pt idx="37">
                  <c:v>10</c:v>
                </c:pt>
                <c:pt idx="38">
                  <c:v>14</c:v>
                </c:pt>
                <c:pt idx="39">
                  <c:v>13</c:v>
                </c:pt>
                <c:pt idx="40">
                  <c:v>13.5</c:v>
                </c:pt>
                <c:pt idx="41">
                  <c:v>10</c:v>
                </c:pt>
                <c:pt idx="42">
                  <c:v>7.5</c:v>
                </c:pt>
                <c:pt idx="43">
                  <c:v>8</c:v>
                </c:pt>
                <c:pt idx="44">
                  <c:v>8.5</c:v>
                </c:pt>
                <c:pt idx="45">
                  <c:v>9.5</c:v>
                </c:pt>
                <c:pt idx="46">
                  <c:v>16</c:v>
                </c:pt>
                <c:pt idx="47">
                  <c:v>14.5</c:v>
                </c:pt>
                <c:pt idx="48">
                  <c:v>13</c:v>
                </c:pt>
                <c:pt idx="49">
                  <c:v>10</c:v>
                </c:pt>
                <c:pt idx="50">
                  <c:v>7</c:v>
                </c:pt>
                <c:pt idx="51">
                  <c:v>10</c:v>
                </c:pt>
                <c:pt idx="52">
                  <c:v>9.5</c:v>
                </c:pt>
                <c:pt idx="53">
                  <c:v>12</c:v>
                </c:pt>
                <c:pt idx="54">
                  <c:v>9</c:v>
                </c:pt>
                <c:pt idx="55">
                  <c:v>9.5</c:v>
                </c:pt>
                <c:pt idx="56">
                  <c:v>11.5</c:v>
                </c:pt>
                <c:pt idx="57">
                  <c:v>9.5</c:v>
                </c:pt>
                <c:pt idx="58">
                  <c:v>9.5</c:v>
                </c:pt>
                <c:pt idx="59">
                  <c:v>8</c:v>
                </c:pt>
                <c:pt idx="60">
                  <c:v>9</c:v>
                </c:pt>
                <c:pt idx="61">
                  <c:v>15.5</c:v>
                </c:pt>
                <c:pt idx="62">
                  <c:v>8</c:v>
                </c:pt>
                <c:pt idx="63">
                  <c:v>9.5</c:v>
                </c:pt>
                <c:pt idx="64">
                  <c:v>12</c:v>
                </c:pt>
                <c:pt idx="65">
                  <c:v>9</c:v>
                </c:pt>
                <c:pt idx="66">
                  <c:v>15.5</c:v>
                </c:pt>
                <c:pt idx="67">
                  <c:v>8.5</c:v>
                </c:pt>
              </c:numCache>
            </c:numRef>
          </c:yVal>
          <c:smooth val="0"/>
          <c:extLst>
            <c:ext xmlns:c16="http://schemas.microsoft.com/office/drawing/2014/chart" uri="{C3380CC4-5D6E-409C-BE32-E72D297353CC}">
              <c16:uniqueId val="{00000003-EF53-4AB9-8FE2-73E8C1C568FF}"/>
            </c:ext>
          </c:extLst>
        </c:ser>
        <c:ser>
          <c:idx val="2"/>
          <c:order val="2"/>
          <c:tx>
            <c:v>NICU </c:v>
          </c:tx>
          <c:spPr>
            <a:ln w="25400" cap="rnd">
              <a:noFill/>
              <a:round/>
            </a:ln>
            <a:effectLst/>
          </c:spPr>
          <c:marker>
            <c:symbol val="circle"/>
            <c:size val="5"/>
            <c:spPr>
              <a:solidFill>
                <a:schemeClr val="accent3"/>
              </a:solidFill>
              <a:ln w="15875">
                <a:solidFill>
                  <a:schemeClr val="accent3"/>
                </a:solidFill>
              </a:ln>
              <a:effectLst/>
            </c:spPr>
          </c:marker>
          <c:trendline>
            <c:spPr>
              <a:ln w="28575" cap="rnd">
                <a:solidFill>
                  <a:schemeClr val="accent3"/>
                </a:solidFill>
                <a:prstDash val="solid"/>
              </a:ln>
              <a:effectLst/>
            </c:spPr>
            <c:trendlineType val="poly"/>
            <c:order val="2"/>
            <c:dispRSqr val="0"/>
            <c:dispEq val="0"/>
          </c:trendline>
          <c:xVal>
            <c:numRef>
              <c:f>'[Sensory Threshold.xlsx]NICU'!$A$91:$A$131</c:f>
              <c:numCache>
                <c:formatCode>General</c:formatCode>
                <c:ptCount val="41"/>
                <c:pt idx="0">
                  <c:v>2.1349999999999998</c:v>
                </c:pt>
                <c:pt idx="1">
                  <c:v>3.7120000000000002</c:v>
                </c:pt>
                <c:pt idx="2">
                  <c:v>2.0699999999999998</c:v>
                </c:pt>
                <c:pt idx="3">
                  <c:v>3.8759999999999999</c:v>
                </c:pt>
                <c:pt idx="4">
                  <c:v>1.873</c:v>
                </c:pt>
                <c:pt idx="5">
                  <c:v>4.2380000000000004</c:v>
                </c:pt>
                <c:pt idx="6">
                  <c:v>2.1680000000000001</c:v>
                </c:pt>
                <c:pt idx="7">
                  <c:v>4.5010000000000003</c:v>
                </c:pt>
                <c:pt idx="8">
                  <c:v>10.677</c:v>
                </c:pt>
                <c:pt idx="9">
                  <c:v>2.1349999999999998</c:v>
                </c:pt>
                <c:pt idx="10">
                  <c:v>5.5190000000000001</c:v>
                </c:pt>
                <c:pt idx="11">
                  <c:v>2.1019999999999999</c:v>
                </c:pt>
                <c:pt idx="12">
                  <c:v>4.4020000000000001</c:v>
                </c:pt>
                <c:pt idx="13">
                  <c:v>4.665</c:v>
                </c:pt>
                <c:pt idx="14">
                  <c:v>2.3319999999999999</c:v>
                </c:pt>
                <c:pt idx="15">
                  <c:v>10.085000000000001</c:v>
                </c:pt>
                <c:pt idx="16">
                  <c:v>1.8069999999999999</c:v>
                </c:pt>
                <c:pt idx="17">
                  <c:v>10.775</c:v>
                </c:pt>
                <c:pt idx="18">
                  <c:v>2.1349999999999998</c:v>
                </c:pt>
                <c:pt idx="19">
                  <c:v>4.8949999999999996</c:v>
                </c:pt>
                <c:pt idx="20">
                  <c:v>3.4489999999999998</c:v>
                </c:pt>
                <c:pt idx="21">
                  <c:v>4.5659999999999998</c:v>
                </c:pt>
                <c:pt idx="22">
                  <c:v>3.0550000000000002</c:v>
                </c:pt>
                <c:pt idx="23">
                  <c:v>4.7960000000000003</c:v>
                </c:pt>
                <c:pt idx="24">
                  <c:v>2.464</c:v>
                </c:pt>
                <c:pt idx="25">
                  <c:v>5.2229999999999999</c:v>
                </c:pt>
                <c:pt idx="26">
                  <c:v>2.694</c:v>
                </c:pt>
                <c:pt idx="27">
                  <c:v>4.5010000000000003</c:v>
                </c:pt>
                <c:pt idx="28">
                  <c:v>2.234</c:v>
                </c:pt>
                <c:pt idx="29">
                  <c:v>4.5010000000000003</c:v>
                </c:pt>
                <c:pt idx="30">
                  <c:v>4.7309999999999999</c:v>
                </c:pt>
                <c:pt idx="31">
                  <c:v>2.2669999999999999</c:v>
                </c:pt>
                <c:pt idx="32">
                  <c:v>4.5339999999999998</c:v>
                </c:pt>
                <c:pt idx="33">
                  <c:v>2.76</c:v>
                </c:pt>
                <c:pt idx="34">
                  <c:v>5.0590000000000002</c:v>
                </c:pt>
                <c:pt idx="35">
                  <c:v>2.76</c:v>
                </c:pt>
                <c:pt idx="36">
                  <c:v>4.6319999999999997</c:v>
                </c:pt>
                <c:pt idx="37">
                  <c:v>5.3220000000000001</c:v>
                </c:pt>
                <c:pt idx="38">
                  <c:v>2.004</c:v>
                </c:pt>
                <c:pt idx="39">
                  <c:v>4.7309999999999999</c:v>
                </c:pt>
                <c:pt idx="40">
                  <c:v>2.6280000000000001</c:v>
                </c:pt>
              </c:numCache>
            </c:numRef>
          </c:xVal>
          <c:yVal>
            <c:numRef>
              <c:f>'[Sensory Threshold.xlsx]NICU'!$B$91:$B$131</c:f>
              <c:numCache>
                <c:formatCode>General</c:formatCode>
                <c:ptCount val="41"/>
                <c:pt idx="0">
                  <c:v>9.5</c:v>
                </c:pt>
                <c:pt idx="1">
                  <c:v>12</c:v>
                </c:pt>
                <c:pt idx="2">
                  <c:v>7</c:v>
                </c:pt>
                <c:pt idx="3">
                  <c:v>14.5</c:v>
                </c:pt>
                <c:pt idx="4">
                  <c:v>12</c:v>
                </c:pt>
                <c:pt idx="5">
                  <c:v>18.5</c:v>
                </c:pt>
                <c:pt idx="6">
                  <c:v>10</c:v>
                </c:pt>
                <c:pt idx="7">
                  <c:v>11.5</c:v>
                </c:pt>
                <c:pt idx="8">
                  <c:v>8</c:v>
                </c:pt>
                <c:pt idx="9">
                  <c:v>7</c:v>
                </c:pt>
                <c:pt idx="10">
                  <c:v>10</c:v>
                </c:pt>
                <c:pt idx="11">
                  <c:v>14</c:v>
                </c:pt>
                <c:pt idx="12">
                  <c:v>13</c:v>
                </c:pt>
                <c:pt idx="13">
                  <c:v>13.5</c:v>
                </c:pt>
                <c:pt idx="14">
                  <c:v>10</c:v>
                </c:pt>
                <c:pt idx="15">
                  <c:v>7.5</c:v>
                </c:pt>
                <c:pt idx="16">
                  <c:v>8</c:v>
                </c:pt>
                <c:pt idx="17">
                  <c:v>8.5</c:v>
                </c:pt>
                <c:pt idx="18">
                  <c:v>9.5</c:v>
                </c:pt>
                <c:pt idx="19">
                  <c:v>16</c:v>
                </c:pt>
                <c:pt idx="20">
                  <c:v>14.5</c:v>
                </c:pt>
                <c:pt idx="21">
                  <c:v>13</c:v>
                </c:pt>
                <c:pt idx="22">
                  <c:v>10</c:v>
                </c:pt>
                <c:pt idx="23">
                  <c:v>7</c:v>
                </c:pt>
                <c:pt idx="24">
                  <c:v>10</c:v>
                </c:pt>
                <c:pt idx="25">
                  <c:v>9.5</c:v>
                </c:pt>
                <c:pt idx="26">
                  <c:v>12</c:v>
                </c:pt>
                <c:pt idx="27">
                  <c:v>9</c:v>
                </c:pt>
                <c:pt idx="28">
                  <c:v>9.5</c:v>
                </c:pt>
                <c:pt idx="29">
                  <c:v>11.5</c:v>
                </c:pt>
                <c:pt idx="30">
                  <c:v>9.5</c:v>
                </c:pt>
                <c:pt idx="31">
                  <c:v>9.5</c:v>
                </c:pt>
                <c:pt idx="32">
                  <c:v>8</c:v>
                </c:pt>
                <c:pt idx="33">
                  <c:v>9</c:v>
                </c:pt>
                <c:pt idx="34">
                  <c:v>15.5</c:v>
                </c:pt>
                <c:pt idx="35">
                  <c:v>8</c:v>
                </c:pt>
                <c:pt idx="36">
                  <c:v>9.5</c:v>
                </c:pt>
                <c:pt idx="37">
                  <c:v>12</c:v>
                </c:pt>
                <c:pt idx="38">
                  <c:v>9</c:v>
                </c:pt>
                <c:pt idx="39">
                  <c:v>15.5</c:v>
                </c:pt>
                <c:pt idx="40">
                  <c:v>8.5</c:v>
                </c:pt>
              </c:numCache>
            </c:numRef>
          </c:yVal>
          <c:smooth val="0"/>
          <c:extLst>
            <c:ext xmlns:c16="http://schemas.microsoft.com/office/drawing/2014/chart" uri="{C3380CC4-5D6E-409C-BE32-E72D297353CC}">
              <c16:uniqueId val="{00000005-EF53-4AB9-8FE2-73E8C1C568FF}"/>
            </c:ext>
          </c:extLst>
        </c:ser>
        <c:dLbls>
          <c:showLegendKey val="0"/>
          <c:showVal val="0"/>
          <c:showCatName val="0"/>
          <c:showSerName val="0"/>
          <c:showPercent val="0"/>
          <c:showBubbleSize val="0"/>
        </c:dLbls>
        <c:axId val="180930431"/>
        <c:axId val="1996858783"/>
      </c:scatterChart>
      <c:valAx>
        <c:axId val="180930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100">
                    <a:latin typeface="Nirmala UI" panose="020B0502040204020203" pitchFamily="34" charset="0"/>
                    <a:ea typeface="Nirmala UI" panose="020B0502040204020203" pitchFamily="34" charset="0"/>
                    <a:cs typeface="Nirmala UI" panose="020B0502040204020203" pitchFamily="34" charset="0"/>
                  </a:rPr>
                  <a:t>Age</a:t>
                </a:r>
                <a:r>
                  <a:rPr lang="en-US" sz="1100" baseline="0">
                    <a:latin typeface="Nirmala UI" panose="020B0502040204020203" pitchFamily="34" charset="0"/>
                    <a:ea typeface="Nirmala UI" panose="020B0502040204020203" pitchFamily="34" charset="0"/>
                    <a:cs typeface="Nirmala UI" panose="020B0502040204020203" pitchFamily="34" charset="0"/>
                  </a:rPr>
                  <a:t> at Study (months)</a:t>
                </a:r>
                <a:endParaRPr lang="en-US" sz="1100">
                  <a:latin typeface="Nirmala UI" panose="020B0502040204020203" pitchFamily="34" charset="0"/>
                  <a:ea typeface="Nirmala UI" panose="020B0502040204020203" pitchFamily="34" charset="0"/>
                  <a:cs typeface="Nirmala UI" panose="020B0502040204020203" pitchFamily="34" charset="0"/>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6858783"/>
        <c:crosses val="autoZero"/>
        <c:crossBetween val="midCat"/>
      </c:valAx>
      <c:valAx>
        <c:axId val="199685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r>
                  <a:rPr lang="en-US" sz="1100">
                    <a:latin typeface="Nirmala UI" panose="020B0502040204020203" pitchFamily="34" charset="0"/>
                    <a:ea typeface="Nirmala UI" panose="020B0502040204020203" pitchFamily="34" charset="0"/>
                    <a:cs typeface="Nirmala UI" panose="020B0502040204020203" pitchFamily="34" charset="0"/>
                  </a:rPr>
                  <a:t>Sensory</a:t>
                </a:r>
                <a:r>
                  <a:rPr lang="en-US" sz="1100" baseline="0">
                    <a:latin typeface="Nirmala UI" panose="020B0502040204020203" pitchFamily="34" charset="0"/>
                    <a:ea typeface="Nirmala UI" panose="020B0502040204020203" pitchFamily="34" charset="0"/>
                    <a:cs typeface="Nirmala UI" panose="020B0502040204020203" pitchFamily="34" charset="0"/>
                  </a:rPr>
                  <a:t> Threshold (Level)</a:t>
                </a:r>
                <a:endParaRPr lang="en-US" sz="1100">
                  <a:latin typeface="Nirmala UI" panose="020B0502040204020203" pitchFamily="34" charset="0"/>
                  <a:ea typeface="Nirmala UI" panose="020B0502040204020203" pitchFamily="34" charset="0"/>
                  <a:cs typeface="Nirmala UI" panose="020B0502040204020203" pitchFamily="34" charset="0"/>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30431"/>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Nirmala UI" panose="020B0502040204020203" pitchFamily="34" charset="0"/>
              <a:ea typeface="Nirmala UI" panose="020B0502040204020203" pitchFamily="34" charset="0"/>
              <a:cs typeface="Nirmala UI" panose="020B0502040204020203"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F9993-3AF0-42C3-8CF7-C1F6E6A7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10</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Soto</dc:creator>
  <cp:keywords/>
  <dc:description/>
  <cp:lastModifiedBy>Melissa Leanne Soto</cp:lastModifiedBy>
  <cp:revision>133</cp:revision>
  <dcterms:created xsi:type="dcterms:W3CDTF">2021-10-04T13:20:00Z</dcterms:created>
  <dcterms:modified xsi:type="dcterms:W3CDTF">2022-04-22T17:33:00Z</dcterms:modified>
</cp:coreProperties>
</file>