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5AEF" w14:textId="021AD6A4" w:rsidR="00DB5C29" w:rsidRDefault="00DB5C29" w:rsidP="00DB5C29">
      <w:pPr>
        <w:rPr>
          <w:rFonts w:ascii="Times New Roman" w:hAnsi="Times New Roman" w:cs="Times New Roman"/>
          <w:b/>
          <w:bCs/>
          <w:sz w:val="44"/>
          <w:szCs w:val="44"/>
        </w:rPr>
      </w:pPr>
      <w:r w:rsidRPr="00DB5C29">
        <w:rPr>
          <w:rFonts w:ascii="Times New Roman" w:hAnsi="Times New Roman" w:cs="Times New Roman"/>
          <w:b/>
          <w:bCs/>
          <w:sz w:val="44"/>
          <w:szCs w:val="44"/>
        </w:rPr>
        <w:t>Q3</w:t>
      </w:r>
      <w:r>
        <w:rPr>
          <w:rFonts w:ascii="Times New Roman" w:hAnsi="Times New Roman" w:cs="Times New Roman"/>
          <w:b/>
          <w:bCs/>
          <w:sz w:val="44"/>
          <w:szCs w:val="44"/>
        </w:rPr>
        <w:t>-2022 in Corporate America</w:t>
      </w:r>
    </w:p>
    <w:p w14:paraId="2335179C" w14:textId="46D77FA2" w:rsidR="00DB5C29" w:rsidRDefault="00DB5C29" w:rsidP="00DB5C29">
      <w:pPr>
        <w:rPr>
          <w:rFonts w:ascii="Times New Roman" w:hAnsi="Times New Roman" w:cs="Times New Roman"/>
          <w:b/>
          <w:bCs/>
          <w:sz w:val="44"/>
          <w:szCs w:val="44"/>
        </w:rPr>
      </w:pPr>
    </w:p>
    <w:p w14:paraId="54483A06" w14:textId="77777777" w:rsidR="00DB5C29" w:rsidRDefault="00DB5C29" w:rsidP="00DB5C29">
      <w:pPr>
        <w:rPr>
          <w:rFonts w:ascii="Times New Roman" w:hAnsi="Times New Roman" w:cs="Times New Roman"/>
          <w:b/>
          <w:bCs/>
          <w:sz w:val="44"/>
          <w:szCs w:val="44"/>
        </w:rPr>
      </w:pPr>
    </w:p>
    <w:p w14:paraId="2DFCDAB3" w14:textId="77777777" w:rsidR="00DB5C29" w:rsidRDefault="00DB5C29" w:rsidP="00DB5C29">
      <w:pPr>
        <w:rPr>
          <w:rFonts w:ascii="Times New Roman" w:hAnsi="Times New Roman" w:cs="Times New Roman"/>
          <w:b/>
          <w:bCs/>
          <w:sz w:val="32"/>
          <w:szCs w:val="32"/>
        </w:rPr>
      </w:pPr>
      <w:r>
        <w:rPr>
          <w:rFonts w:ascii="Times New Roman" w:hAnsi="Times New Roman" w:cs="Times New Roman"/>
          <w:b/>
          <w:bCs/>
          <w:sz w:val="32"/>
          <w:szCs w:val="32"/>
        </w:rPr>
        <w:t xml:space="preserve">Assessing the Financial Health of </w:t>
      </w:r>
    </w:p>
    <w:p w14:paraId="7FF7E636" w14:textId="17CEAAAF" w:rsidR="00DB5C29" w:rsidRDefault="00DB5C29" w:rsidP="00DB5C29">
      <w:pPr>
        <w:rPr>
          <w:rFonts w:ascii="Times New Roman" w:hAnsi="Times New Roman" w:cs="Times New Roman"/>
          <w:b/>
          <w:bCs/>
          <w:sz w:val="32"/>
          <w:szCs w:val="32"/>
        </w:rPr>
      </w:pPr>
      <w:r>
        <w:rPr>
          <w:rFonts w:ascii="Times New Roman" w:hAnsi="Times New Roman" w:cs="Times New Roman"/>
          <w:b/>
          <w:bCs/>
          <w:sz w:val="32"/>
          <w:szCs w:val="32"/>
        </w:rPr>
        <w:t xml:space="preserve">American </w:t>
      </w:r>
      <w:r w:rsidR="00A67DD6">
        <w:rPr>
          <w:rFonts w:ascii="Times New Roman" w:hAnsi="Times New Roman" w:cs="Times New Roman"/>
          <w:b/>
          <w:bCs/>
          <w:sz w:val="32"/>
          <w:szCs w:val="32"/>
        </w:rPr>
        <w:t>Firms</w:t>
      </w:r>
      <w:r>
        <w:rPr>
          <w:rFonts w:ascii="Times New Roman" w:hAnsi="Times New Roman" w:cs="Times New Roman"/>
          <w:b/>
          <w:bCs/>
          <w:sz w:val="32"/>
          <w:szCs w:val="32"/>
        </w:rPr>
        <w:t xml:space="preserve"> </w:t>
      </w:r>
      <w:r w:rsidR="00A67DD6">
        <w:rPr>
          <w:rFonts w:ascii="Times New Roman" w:hAnsi="Times New Roman" w:cs="Times New Roman"/>
          <w:b/>
          <w:bCs/>
          <w:sz w:val="32"/>
          <w:szCs w:val="32"/>
        </w:rPr>
        <w:t>with</w:t>
      </w:r>
      <w:r>
        <w:rPr>
          <w:rFonts w:ascii="Times New Roman" w:hAnsi="Times New Roman" w:cs="Times New Roman"/>
          <w:b/>
          <w:bCs/>
          <w:sz w:val="32"/>
          <w:szCs w:val="32"/>
        </w:rPr>
        <w:t xml:space="preserve"> Statistical Methods</w:t>
      </w:r>
    </w:p>
    <w:p w14:paraId="411F03F4" w14:textId="5DE76BE6" w:rsidR="00DB5C29" w:rsidRDefault="00DB5C29" w:rsidP="00DB5C29">
      <w:pPr>
        <w:rPr>
          <w:rFonts w:ascii="Times New Roman" w:hAnsi="Times New Roman" w:cs="Times New Roman"/>
          <w:b/>
          <w:bCs/>
          <w:sz w:val="32"/>
          <w:szCs w:val="32"/>
        </w:rPr>
      </w:pPr>
    </w:p>
    <w:p w14:paraId="1223429B" w14:textId="6DBEE4EF" w:rsidR="00DB5C29" w:rsidRDefault="00DB5C29" w:rsidP="00DB5C29">
      <w:pPr>
        <w:rPr>
          <w:rFonts w:ascii="Times New Roman" w:hAnsi="Times New Roman" w:cs="Times New Roman"/>
          <w:b/>
          <w:bCs/>
          <w:sz w:val="32"/>
          <w:szCs w:val="32"/>
        </w:rPr>
      </w:pPr>
    </w:p>
    <w:p w14:paraId="4F61A09B" w14:textId="6F5B36D8" w:rsidR="00DB5C29" w:rsidRDefault="00DB5C29" w:rsidP="00DB5C29">
      <w:pPr>
        <w:rPr>
          <w:rFonts w:ascii="Times New Roman" w:hAnsi="Times New Roman" w:cs="Times New Roman"/>
          <w:b/>
          <w:bCs/>
          <w:sz w:val="32"/>
          <w:szCs w:val="32"/>
        </w:rPr>
      </w:pPr>
    </w:p>
    <w:p w14:paraId="1953E2D3" w14:textId="1DBA5018" w:rsidR="00DB5C29" w:rsidRDefault="00DB5C29" w:rsidP="00DB5C29">
      <w:pPr>
        <w:rPr>
          <w:rFonts w:ascii="Times New Roman" w:hAnsi="Times New Roman" w:cs="Times New Roman"/>
          <w:b/>
          <w:bCs/>
          <w:sz w:val="32"/>
          <w:szCs w:val="32"/>
        </w:rPr>
      </w:pPr>
      <w:r>
        <w:rPr>
          <w:rFonts w:ascii="Times New Roman" w:hAnsi="Times New Roman" w:cs="Times New Roman"/>
          <w:b/>
          <w:bCs/>
          <w:sz w:val="32"/>
          <w:szCs w:val="32"/>
        </w:rPr>
        <w:t>STAT-5010</w:t>
      </w:r>
    </w:p>
    <w:p w14:paraId="0F9F61D1" w14:textId="09C387A4" w:rsidR="00DB5C29" w:rsidRDefault="00DB5C29" w:rsidP="00DB5C29">
      <w:pPr>
        <w:rPr>
          <w:rFonts w:ascii="Times New Roman" w:hAnsi="Times New Roman" w:cs="Times New Roman"/>
          <w:b/>
          <w:bCs/>
          <w:sz w:val="32"/>
          <w:szCs w:val="32"/>
        </w:rPr>
      </w:pPr>
      <w:r>
        <w:rPr>
          <w:rFonts w:ascii="Times New Roman" w:hAnsi="Times New Roman" w:cs="Times New Roman"/>
          <w:b/>
          <w:bCs/>
          <w:sz w:val="32"/>
          <w:szCs w:val="32"/>
        </w:rPr>
        <w:t>Benedict Holden</w:t>
      </w:r>
    </w:p>
    <w:p w14:paraId="2D3764A3" w14:textId="411C94AF" w:rsidR="00DB5C29" w:rsidRDefault="00DB5C29" w:rsidP="00DB5C29">
      <w:pPr>
        <w:rPr>
          <w:rFonts w:ascii="Times New Roman" w:hAnsi="Times New Roman" w:cs="Times New Roman"/>
          <w:b/>
          <w:bCs/>
          <w:sz w:val="32"/>
          <w:szCs w:val="32"/>
        </w:rPr>
      </w:pPr>
    </w:p>
    <w:p w14:paraId="0080E4C1" w14:textId="6BD47828" w:rsidR="00DB5C29" w:rsidRDefault="00DB5C29" w:rsidP="00DB5C29">
      <w:pPr>
        <w:rPr>
          <w:rFonts w:ascii="Times New Roman" w:hAnsi="Times New Roman" w:cs="Times New Roman"/>
          <w:b/>
          <w:bCs/>
          <w:sz w:val="32"/>
          <w:szCs w:val="32"/>
        </w:rPr>
      </w:pPr>
    </w:p>
    <w:p w14:paraId="511291A4" w14:textId="506A1060" w:rsidR="00DB5C29" w:rsidRDefault="00DB5C29" w:rsidP="00DB5C29">
      <w:pPr>
        <w:rPr>
          <w:rFonts w:ascii="Times New Roman" w:hAnsi="Times New Roman" w:cs="Times New Roman"/>
          <w:sz w:val="32"/>
          <w:szCs w:val="32"/>
        </w:rPr>
      </w:pPr>
    </w:p>
    <w:p w14:paraId="10031DE0" w14:textId="629DDC89" w:rsidR="00DB5C29" w:rsidRDefault="00DB5C29" w:rsidP="00DB5C29">
      <w:pPr>
        <w:rPr>
          <w:rFonts w:ascii="Times New Roman" w:hAnsi="Times New Roman" w:cs="Times New Roman"/>
          <w:sz w:val="32"/>
          <w:szCs w:val="32"/>
        </w:rPr>
      </w:pPr>
    </w:p>
    <w:p w14:paraId="5D225C85" w14:textId="0A44319D" w:rsidR="00DB5C29" w:rsidRDefault="00DB5C29" w:rsidP="00DB5C29">
      <w:pPr>
        <w:rPr>
          <w:rFonts w:ascii="Times New Roman" w:hAnsi="Times New Roman" w:cs="Times New Roman"/>
          <w:sz w:val="32"/>
          <w:szCs w:val="32"/>
        </w:rPr>
      </w:pPr>
    </w:p>
    <w:p w14:paraId="752FF899" w14:textId="4C60F7FF" w:rsidR="00DB5C29" w:rsidRDefault="00DB5C29" w:rsidP="00DB5C29">
      <w:pPr>
        <w:rPr>
          <w:rFonts w:ascii="Times New Roman" w:hAnsi="Times New Roman" w:cs="Times New Roman"/>
          <w:sz w:val="32"/>
          <w:szCs w:val="32"/>
        </w:rPr>
      </w:pPr>
    </w:p>
    <w:p w14:paraId="3F16D990" w14:textId="6AA540AD" w:rsidR="00DB5C29" w:rsidRDefault="00DB5C29" w:rsidP="00DB5C29">
      <w:pPr>
        <w:rPr>
          <w:rFonts w:ascii="Times New Roman" w:hAnsi="Times New Roman" w:cs="Times New Roman"/>
          <w:sz w:val="32"/>
          <w:szCs w:val="32"/>
        </w:rPr>
      </w:pPr>
    </w:p>
    <w:p w14:paraId="60AF251B" w14:textId="3A2F6B1B" w:rsidR="00DB5C29" w:rsidRDefault="00DB5C29" w:rsidP="00DB5C29">
      <w:pPr>
        <w:rPr>
          <w:rFonts w:ascii="Times New Roman" w:hAnsi="Times New Roman" w:cs="Times New Roman"/>
          <w:sz w:val="32"/>
          <w:szCs w:val="32"/>
        </w:rPr>
      </w:pPr>
    </w:p>
    <w:p w14:paraId="482CACAC" w14:textId="74E90F5C" w:rsidR="00DB5C29" w:rsidRDefault="00DB5C29" w:rsidP="00DB5C29">
      <w:pPr>
        <w:rPr>
          <w:rFonts w:ascii="Times New Roman" w:hAnsi="Times New Roman" w:cs="Times New Roman"/>
          <w:sz w:val="32"/>
          <w:szCs w:val="32"/>
        </w:rPr>
      </w:pPr>
    </w:p>
    <w:p w14:paraId="2BFF2433" w14:textId="761C8207" w:rsidR="00DB5C29" w:rsidRDefault="00DB5C29" w:rsidP="00DB5C29">
      <w:pPr>
        <w:rPr>
          <w:rFonts w:ascii="Times New Roman" w:hAnsi="Times New Roman" w:cs="Times New Roman"/>
          <w:sz w:val="32"/>
          <w:szCs w:val="32"/>
        </w:rPr>
      </w:pPr>
    </w:p>
    <w:p w14:paraId="3EB54E04" w14:textId="4C7EB283" w:rsidR="00DB5C29" w:rsidRDefault="00DB5C29" w:rsidP="00DB5C29">
      <w:pPr>
        <w:rPr>
          <w:rFonts w:ascii="Times New Roman" w:hAnsi="Times New Roman" w:cs="Times New Roman"/>
          <w:sz w:val="32"/>
          <w:szCs w:val="32"/>
        </w:rPr>
      </w:pPr>
    </w:p>
    <w:p w14:paraId="33933B3C" w14:textId="32543900" w:rsidR="00DB5C29" w:rsidRDefault="00DB5C29" w:rsidP="00DB5C29">
      <w:pPr>
        <w:rPr>
          <w:rFonts w:ascii="Times New Roman" w:hAnsi="Times New Roman" w:cs="Times New Roman"/>
          <w:sz w:val="32"/>
          <w:szCs w:val="32"/>
        </w:rPr>
      </w:pPr>
    </w:p>
    <w:p w14:paraId="641B846C" w14:textId="0EB411C2" w:rsidR="00DB5C29" w:rsidRDefault="00DB5C29" w:rsidP="00DB5C29">
      <w:pPr>
        <w:rPr>
          <w:rFonts w:ascii="Times New Roman" w:hAnsi="Times New Roman" w:cs="Times New Roman"/>
          <w:sz w:val="32"/>
          <w:szCs w:val="32"/>
        </w:rPr>
      </w:pPr>
    </w:p>
    <w:p w14:paraId="2D19EFE2" w14:textId="5714719D" w:rsidR="00DB5C29" w:rsidRDefault="00DB5C29" w:rsidP="00DB5C29">
      <w:pPr>
        <w:rPr>
          <w:rFonts w:ascii="Times New Roman" w:hAnsi="Times New Roman" w:cs="Times New Roman"/>
          <w:sz w:val="32"/>
          <w:szCs w:val="32"/>
        </w:rPr>
      </w:pPr>
    </w:p>
    <w:p w14:paraId="46577CEF" w14:textId="6E76B99D" w:rsidR="00DB5C29" w:rsidRDefault="00DB5C29" w:rsidP="00DB5C29">
      <w:pPr>
        <w:rPr>
          <w:rFonts w:ascii="Times New Roman" w:hAnsi="Times New Roman" w:cs="Times New Roman"/>
          <w:sz w:val="32"/>
          <w:szCs w:val="32"/>
        </w:rPr>
      </w:pPr>
    </w:p>
    <w:p w14:paraId="5BBBA528" w14:textId="48BBE9BD" w:rsidR="00A67DD6" w:rsidRDefault="00A67DD6" w:rsidP="00DB5C29">
      <w:pPr>
        <w:rPr>
          <w:rFonts w:ascii="Times New Roman" w:hAnsi="Times New Roman" w:cs="Times New Roman"/>
          <w:sz w:val="32"/>
          <w:szCs w:val="32"/>
        </w:rPr>
      </w:pPr>
    </w:p>
    <w:p w14:paraId="6C02DB50" w14:textId="77777777" w:rsidR="00A67DD6" w:rsidRDefault="00A67DD6" w:rsidP="00DB5C29">
      <w:pPr>
        <w:rPr>
          <w:rFonts w:ascii="Times New Roman" w:hAnsi="Times New Roman" w:cs="Times New Roman"/>
          <w:sz w:val="32"/>
          <w:szCs w:val="32"/>
        </w:rPr>
      </w:pPr>
    </w:p>
    <w:p w14:paraId="0C0155C7" w14:textId="2A4459BC" w:rsidR="00DB5C29" w:rsidRDefault="00DB5C29" w:rsidP="00DB5C29">
      <w:pPr>
        <w:rPr>
          <w:rFonts w:ascii="Times New Roman" w:hAnsi="Times New Roman" w:cs="Times New Roman"/>
          <w:sz w:val="32"/>
          <w:szCs w:val="32"/>
        </w:rPr>
      </w:pPr>
    </w:p>
    <w:p w14:paraId="1B333BBE" w14:textId="1787B594" w:rsidR="00DB5C29" w:rsidRDefault="00DB5C29" w:rsidP="00DB5C29">
      <w:pPr>
        <w:rPr>
          <w:rFonts w:ascii="Times New Roman" w:hAnsi="Times New Roman" w:cs="Times New Roman"/>
          <w:sz w:val="32"/>
          <w:szCs w:val="32"/>
        </w:rPr>
      </w:pPr>
    </w:p>
    <w:p w14:paraId="4C4DA22A" w14:textId="59531653" w:rsidR="00DB5C29" w:rsidRDefault="00DB5C29" w:rsidP="00DB5C29">
      <w:pPr>
        <w:rPr>
          <w:rFonts w:ascii="Times New Roman" w:hAnsi="Times New Roman" w:cs="Times New Roman"/>
          <w:sz w:val="32"/>
          <w:szCs w:val="32"/>
        </w:rPr>
      </w:pPr>
    </w:p>
    <w:p w14:paraId="638C4BA9" w14:textId="183F869C" w:rsidR="00DB5C29" w:rsidRDefault="00DB5C29" w:rsidP="00DB5C29">
      <w:pPr>
        <w:rPr>
          <w:rFonts w:ascii="Times New Roman" w:hAnsi="Times New Roman" w:cs="Times New Roman"/>
          <w:sz w:val="32"/>
          <w:szCs w:val="32"/>
        </w:rPr>
      </w:pPr>
    </w:p>
    <w:p w14:paraId="581BDDF2" w14:textId="401E6D7F" w:rsidR="00DB5C29" w:rsidRDefault="00DB5C29" w:rsidP="00DB5C29">
      <w:pPr>
        <w:rPr>
          <w:rFonts w:ascii="Times New Roman" w:hAnsi="Times New Roman" w:cs="Times New Roman"/>
          <w:sz w:val="32"/>
          <w:szCs w:val="32"/>
        </w:rPr>
      </w:pPr>
    </w:p>
    <w:p w14:paraId="6A5B8025" w14:textId="534FF191" w:rsidR="00DB5C29" w:rsidRDefault="00DB5C29" w:rsidP="00DB5C29">
      <w:pPr>
        <w:rPr>
          <w:rFonts w:ascii="Times New Roman" w:hAnsi="Times New Roman" w:cs="Times New Roman"/>
          <w:sz w:val="32"/>
          <w:szCs w:val="32"/>
        </w:rPr>
      </w:pPr>
    </w:p>
    <w:p w14:paraId="3CF3379F" w14:textId="59A99079" w:rsidR="00DB5C29" w:rsidRDefault="00DB5C29" w:rsidP="00DB5C29">
      <w:pPr>
        <w:rPr>
          <w:rFonts w:ascii="Times New Roman" w:hAnsi="Times New Roman" w:cs="Times New Roman"/>
          <w:sz w:val="32"/>
          <w:szCs w:val="32"/>
        </w:rPr>
      </w:pPr>
    </w:p>
    <w:p w14:paraId="59185742" w14:textId="6E645768" w:rsidR="00DB5C29" w:rsidRPr="00D70AF1" w:rsidRDefault="00DB5C29" w:rsidP="00D70AF1">
      <w:pPr>
        <w:pStyle w:val="ListParagraph"/>
        <w:numPr>
          <w:ilvl w:val="0"/>
          <w:numId w:val="1"/>
        </w:numPr>
        <w:rPr>
          <w:rFonts w:ascii="Times New Roman" w:hAnsi="Times New Roman" w:cs="Times New Roman"/>
          <w:b/>
          <w:bCs/>
        </w:rPr>
      </w:pPr>
      <w:r w:rsidRPr="00D70AF1">
        <w:rPr>
          <w:rFonts w:ascii="Times New Roman" w:hAnsi="Times New Roman" w:cs="Times New Roman"/>
          <w:b/>
          <w:bCs/>
        </w:rPr>
        <w:lastRenderedPageBreak/>
        <w:t>Introduction</w:t>
      </w:r>
    </w:p>
    <w:p w14:paraId="30650046" w14:textId="7821B310" w:rsidR="00DB5C29" w:rsidRDefault="00DB5C29" w:rsidP="00DB5C29">
      <w:pPr>
        <w:rPr>
          <w:rFonts w:ascii="Times New Roman" w:hAnsi="Times New Roman" w:cs="Times New Roman"/>
        </w:rPr>
      </w:pPr>
    </w:p>
    <w:p w14:paraId="49F76834" w14:textId="3FDB0C12" w:rsidR="00DB5C29" w:rsidRPr="00DB5C29" w:rsidRDefault="00DB5C29" w:rsidP="00DB5C29">
      <w:pPr>
        <w:rPr>
          <w:rFonts w:ascii="Times New Roman" w:hAnsi="Times New Roman" w:cs="Times New Roman"/>
        </w:rPr>
      </w:pPr>
      <w:r w:rsidRPr="00DB5C29">
        <w:rPr>
          <w:rFonts w:ascii="Times New Roman" w:hAnsi="Times New Roman" w:cs="Times New Roman"/>
        </w:rPr>
        <w:t xml:space="preserve">The earnings of a corporation are an </w:t>
      </w:r>
      <w:r>
        <w:rPr>
          <w:rFonts w:ascii="Times New Roman" w:hAnsi="Times New Roman" w:cs="Times New Roman"/>
        </w:rPr>
        <w:t>essential</w:t>
      </w:r>
      <w:r w:rsidRPr="00DB5C29">
        <w:rPr>
          <w:rFonts w:ascii="Times New Roman" w:hAnsi="Times New Roman" w:cs="Times New Roman"/>
        </w:rPr>
        <w:t xml:space="preserve"> metric that </w:t>
      </w:r>
      <w:r>
        <w:rPr>
          <w:rFonts w:ascii="Times New Roman" w:hAnsi="Times New Roman" w:cs="Times New Roman"/>
        </w:rPr>
        <w:t>provides</w:t>
      </w:r>
      <w:r w:rsidRPr="00DB5C29">
        <w:rPr>
          <w:rFonts w:ascii="Times New Roman" w:hAnsi="Times New Roman" w:cs="Times New Roman"/>
        </w:rPr>
        <w:t xml:space="preserve"> insight into </w:t>
      </w:r>
      <w:r w:rsidR="00E907F1">
        <w:rPr>
          <w:rFonts w:ascii="Times New Roman" w:hAnsi="Times New Roman" w:cs="Times New Roman"/>
        </w:rPr>
        <w:t>its</w:t>
      </w:r>
      <w:r w:rsidRPr="00DB5C29">
        <w:rPr>
          <w:rFonts w:ascii="Times New Roman" w:hAnsi="Times New Roman" w:cs="Times New Roman"/>
        </w:rPr>
        <w:t xml:space="preserve"> financial health</w:t>
      </w:r>
      <w:r w:rsidR="00E907F1">
        <w:rPr>
          <w:rFonts w:ascii="Times New Roman" w:hAnsi="Times New Roman" w:cs="Times New Roman"/>
        </w:rPr>
        <w:t xml:space="preserve">. </w:t>
      </w:r>
      <w:r w:rsidRPr="00DB5C29">
        <w:rPr>
          <w:rFonts w:ascii="Times New Roman" w:hAnsi="Times New Roman" w:cs="Times New Roman"/>
        </w:rPr>
        <w:t xml:space="preserve">Understanding corporate earnings is important for </w:t>
      </w:r>
      <w:r w:rsidR="00E907F1" w:rsidRPr="00DB5C29">
        <w:rPr>
          <w:rFonts w:ascii="Times New Roman" w:hAnsi="Times New Roman" w:cs="Times New Roman"/>
        </w:rPr>
        <w:t>several</w:t>
      </w:r>
      <w:r w:rsidRPr="00DB5C29">
        <w:rPr>
          <w:rFonts w:ascii="Times New Roman" w:hAnsi="Times New Roman" w:cs="Times New Roman"/>
        </w:rPr>
        <w:t xml:space="preserve"> reasons</w:t>
      </w:r>
      <w:r w:rsidR="00E907F1">
        <w:rPr>
          <w:rFonts w:ascii="Times New Roman" w:hAnsi="Times New Roman" w:cs="Times New Roman"/>
        </w:rPr>
        <w:t>;</w:t>
      </w:r>
      <w:r w:rsidRPr="00DB5C29">
        <w:rPr>
          <w:rFonts w:ascii="Times New Roman" w:hAnsi="Times New Roman" w:cs="Times New Roman"/>
        </w:rPr>
        <w:t xml:space="preserve"> </w:t>
      </w:r>
      <w:r w:rsidR="00E907F1">
        <w:rPr>
          <w:rFonts w:ascii="Times New Roman" w:hAnsi="Times New Roman" w:cs="Times New Roman"/>
        </w:rPr>
        <w:t>f</w:t>
      </w:r>
      <w:r w:rsidRPr="00DB5C29">
        <w:rPr>
          <w:rFonts w:ascii="Times New Roman" w:hAnsi="Times New Roman" w:cs="Times New Roman"/>
        </w:rPr>
        <w:t>or investors, earnings can be a key factor in deciding whether to buy, hold, or sell a company's stock</w:t>
      </w:r>
      <w:r w:rsidR="00E907F1">
        <w:rPr>
          <w:rFonts w:ascii="Times New Roman" w:hAnsi="Times New Roman" w:cs="Times New Roman"/>
        </w:rPr>
        <w:t xml:space="preserve"> – and whether to hold a short or long position</w:t>
      </w:r>
      <w:r w:rsidRPr="00DB5C29">
        <w:rPr>
          <w:rFonts w:ascii="Times New Roman" w:hAnsi="Times New Roman" w:cs="Times New Roman"/>
        </w:rPr>
        <w:t xml:space="preserve">. For analysts and researchers, earnings can provide valuable information about the company's performance and competitiveness in the market. </w:t>
      </w:r>
      <w:r w:rsidR="00E907F1">
        <w:rPr>
          <w:rFonts w:ascii="Times New Roman" w:hAnsi="Times New Roman" w:cs="Times New Roman"/>
        </w:rPr>
        <w:t>For</w:t>
      </w:r>
      <w:r w:rsidRPr="00DB5C29">
        <w:rPr>
          <w:rFonts w:ascii="Times New Roman" w:hAnsi="Times New Roman" w:cs="Times New Roman"/>
        </w:rPr>
        <w:t xml:space="preserve"> the </w:t>
      </w:r>
      <w:r w:rsidR="00E907F1" w:rsidRPr="00DB5C29">
        <w:rPr>
          <w:rFonts w:ascii="Times New Roman" w:hAnsi="Times New Roman" w:cs="Times New Roman"/>
        </w:rPr>
        <w:t>public</w:t>
      </w:r>
      <w:r w:rsidRPr="00DB5C29">
        <w:rPr>
          <w:rFonts w:ascii="Times New Roman" w:hAnsi="Times New Roman" w:cs="Times New Roman"/>
        </w:rPr>
        <w:t>, earnings</w:t>
      </w:r>
      <w:r w:rsidR="00E907F1">
        <w:rPr>
          <w:rFonts w:ascii="Times New Roman" w:hAnsi="Times New Roman" w:cs="Times New Roman"/>
        </w:rPr>
        <w:t xml:space="preserve"> for individual companies or industries</w:t>
      </w:r>
      <w:r w:rsidRPr="00DB5C29">
        <w:rPr>
          <w:rFonts w:ascii="Times New Roman" w:hAnsi="Times New Roman" w:cs="Times New Roman"/>
        </w:rPr>
        <w:t xml:space="preserve"> can be </w:t>
      </w:r>
      <w:r w:rsidR="00E907F1">
        <w:rPr>
          <w:rFonts w:ascii="Times New Roman" w:hAnsi="Times New Roman" w:cs="Times New Roman"/>
        </w:rPr>
        <w:t xml:space="preserve">key </w:t>
      </w:r>
      <w:r w:rsidRPr="00DB5C29">
        <w:rPr>
          <w:rFonts w:ascii="Times New Roman" w:hAnsi="Times New Roman" w:cs="Times New Roman"/>
        </w:rPr>
        <w:t>indicator</w:t>
      </w:r>
      <w:r w:rsidR="00E907F1">
        <w:rPr>
          <w:rFonts w:ascii="Times New Roman" w:hAnsi="Times New Roman" w:cs="Times New Roman"/>
        </w:rPr>
        <w:t>s</w:t>
      </w:r>
      <w:r w:rsidRPr="00DB5C29">
        <w:rPr>
          <w:rFonts w:ascii="Times New Roman" w:hAnsi="Times New Roman" w:cs="Times New Roman"/>
        </w:rPr>
        <w:t xml:space="preserve"> of the overall health of the economy and the stability of the financial system.</w:t>
      </w:r>
    </w:p>
    <w:p w14:paraId="1EE9990A" w14:textId="77777777" w:rsidR="00E907F1" w:rsidRPr="00DB5C29" w:rsidRDefault="00E907F1" w:rsidP="00DB5C29">
      <w:pPr>
        <w:rPr>
          <w:rFonts w:ascii="Times New Roman" w:hAnsi="Times New Roman" w:cs="Times New Roman"/>
        </w:rPr>
      </w:pPr>
    </w:p>
    <w:p w14:paraId="3FDF55CA" w14:textId="72C124EE" w:rsidR="00DB5C29" w:rsidRDefault="00E907F1" w:rsidP="00DB5C29">
      <w:pPr>
        <w:rPr>
          <w:rFonts w:ascii="Times New Roman" w:hAnsi="Times New Roman" w:cs="Times New Roman"/>
        </w:rPr>
      </w:pPr>
      <w:r>
        <w:rPr>
          <w:rFonts w:ascii="Times New Roman" w:hAnsi="Times New Roman" w:cs="Times New Roman"/>
        </w:rPr>
        <w:t>This project</w:t>
      </w:r>
      <w:r w:rsidR="00DB5C29" w:rsidRPr="00DB5C29">
        <w:rPr>
          <w:rFonts w:ascii="Times New Roman" w:hAnsi="Times New Roman" w:cs="Times New Roman"/>
        </w:rPr>
        <w:t xml:space="preserve"> will use a variety of statistical method</w:t>
      </w:r>
      <w:r>
        <w:rPr>
          <w:rFonts w:ascii="Times New Roman" w:hAnsi="Times New Roman" w:cs="Times New Roman"/>
        </w:rPr>
        <w:t>s,</w:t>
      </w:r>
      <w:r w:rsidR="00DB5C29" w:rsidRPr="00DB5C29">
        <w:rPr>
          <w:rFonts w:ascii="Times New Roman" w:hAnsi="Times New Roman" w:cs="Times New Roman"/>
        </w:rPr>
        <w:t xml:space="preserve"> the earnings </w:t>
      </w:r>
      <w:r w:rsidR="00D70AF1" w:rsidRPr="00DB5C29">
        <w:rPr>
          <w:rFonts w:ascii="Times New Roman" w:hAnsi="Times New Roman" w:cs="Times New Roman"/>
        </w:rPr>
        <w:t>data</w:t>
      </w:r>
      <w:r w:rsidR="00D70AF1">
        <w:rPr>
          <w:rFonts w:ascii="Times New Roman" w:hAnsi="Times New Roman" w:cs="Times New Roman"/>
        </w:rPr>
        <w:t xml:space="preserve"> from quarterly earnings</w:t>
      </w:r>
      <w:r>
        <w:rPr>
          <w:rFonts w:ascii="Times New Roman" w:hAnsi="Times New Roman" w:cs="Times New Roman"/>
        </w:rPr>
        <w:t xml:space="preserve"> reports, to analyze the profitability and financial health of U.S. firms</w:t>
      </w:r>
      <w:r w:rsidR="00D70AF1">
        <w:rPr>
          <w:rFonts w:ascii="Times New Roman" w:hAnsi="Times New Roman" w:cs="Times New Roman"/>
        </w:rPr>
        <w:t xml:space="preserve"> given the current economic climate</w:t>
      </w:r>
      <w:r>
        <w:rPr>
          <w:rFonts w:ascii="Times New Roman" w:hAnsi="Times New Roman" w:cs="Times New Roman"/>
        </w:rPr>
        <w:t>. With the use predictive modeling techniques, we can evaluate</w:t>
      </w:r>
      <w:r w:rsidRPr="00DB5C29">
        <w:rPr>
          <w:rFonts w:ascii="Times New Roman" w:hAnsi="Times New Roman" w:cs="Times New Roman"/>
        </w:rPr>
        <w:t xml:space="preserve"> the profitability (</w:t>
      </w:r>
      <w:r>
        <w:rPr>
          <w:rFonts w:ascii="Times New Roman" w:hAnsi="Times New Roman" w:cs="Times New Roman"/>
        </w:rPr>
        <w:t xml:space="preserve">measured as </w:t>
      </w:r>
      <w:r w:rsidRPr="00DB5C29">
        <w:rPr>
          <w:rFonts w:ascii="Times New Roman" w:hAnsi="Times New Roman" w:cs="Times New Roman"/>
        </w:rPr>
        <w:t>earnings per share) of U.S. firms in the third fiscal quarter of 202</w:t>
      </w:r>
      <w:r>
        <w:rPr>
          <w:rFonts w:ascii="Times New Roman" w:hAnsi="Times New Roman" w:cs="Times New Roman"/>
        </w:rPr>
        <w:t>2 and the overall state of the economy</w:t>
      </w:r>
      <w:r w:rsidR="00DB5C29" w:rsidRPr="00DB5C29">
        <w:rPr>
          <w:rFonts w:ascii="Times New Roman" w:hAnsi="Times New Roman" w:cs="Times New Roman"/>
        </w:rPr>
        <w:t xml:space="preserve">. We will evaluate the performance of different firms and industries, and we will use predictive models to forecast the earnings of these firms in the future. </w:t>
      </w:r>
      <w:r w:rsidR="00F42D5E">
        <w:rPr>
          <w:rFonts w:ascii="Times New Roman" w:hAnsi="Times New Roman" w:cs="Times New Roman"/>
        </w:rPr>
        <w:t>This analysis aims</w:t>
      </w:r>
      <w:r w:rsidR="00DB5C29" w:rsidRPr="00DB5C29">
        <w:rPr>
          <w:rFonts w:ascii="Times New Roman" w:hAnsi="Times New Roman" w:cs="Times New Roman"/>
        </w:rPr>
        <w:t xml:space="preserve"> to provide insights into the profitability and financial health of U.S. firms, and to shed light on the implications of these earnings for the broader economy.</w:t>
      </w:r>
      <w:r w:rsidR="00F42D5E">
        <w:rPr>
          <w:rFonts w:ascii="Times New Roman" w:hAnsi="Times New Roman" w:cs="Times New Roman"/>
        </w:rPr>
        <w:t xml:space="preserve"> </w:t>
      </w:r>
    </w:p>
    <w:p w14:paraId="76592B4F" w14:textId="55DF7081" w:rsidR="00DB5C29" w:rsidRDefault="00DB5C29" w:rsidP="00DB5C29">
      <w:pPr>
        <w:rPr>
          <w:rFonts w:ascii="Times New Roman" w:hAnsi="Times New Roman" w:cs="Times New Roman"/>
        </w:rPr>
      </w:pPr>
    </w:p>
    <w:p w14:paraId="77EBF9F9" w14:textId="32E1C1FD" w:rsidR="00DB5C29" w:rsidRDefault="00DB5C29" w:rsidP="00DB5C29">
      <w:pPr>
        <w:rPr>
          <w:rFonts w:ascii="Times New Roman" w:hAnsi="Times New Roman" w:cs="Times New Roman"/>
        </w:rPr>
      </w:pPr>
    </w:p>
    <w:p w14:paraId="19DBDC8E" w14:textId="37007FE9" w:rsidR="00DB5C29" w:rsidRPr="00D70AF1" w:rsidRDefault="00A67DD6" w:rsidP="00D70AF1">
      <w:pPr>
        <w:pStyle w:val="ListParagraph"/>
        <w:numPr>
          <w:ilvl w:val="0"/>
          <w:numId w:val="1"/>
        </w:numPr>
        <w:rPr>
          <w:rFonts w:ascii="Times New Roman" w:hAnsi="Times New Roman" w:cs="Times New Roman"/>
          <w:b/>
          <w:bCs/>
        </w:rPr>
      </w:pPr>
      <w:r w:rsidRPr="00D70AF1">
        <w:rPr>
          <w:rFonts w:ascii="Times New Roman" w:hAnsi="Times New Roman" w:cs="Times New Roman"/>
          <w:b/>
          <w:bCs/>
        </w:rPr>
        <w:t>Background</w:t>
      </w:r>
    </w:p>
    <w:p w14:paraId="51780999" w14:textId="051504B5" w:rsidR="00A67DD6" w:rsidRDefault="00A67DD6" w:rsidP="00DB5C29">
      <w:pPr>
        <w:rPr>
          <w:rFonts w:ascii="Times New Roman" w:hAnsi="Times New Roman" w:cs="Times New Roman"/>
          <w:b/>
          <w:bCs/>
        </w:rPr>
      </w:pPr>
    </w:p>
    <w:p w14:paraId="12624A3B" w14:textId="738302B0" w:rsidR="00A67DD6" w:rsidRPr="008E3B0B" w:rsidRDefault="00A67DD6" w:rsidP="008E3B0B">
      <w:pPr>
        <w:rPr>
          <w:rFonts w:ascii="Times New Roman" w:hAnsi="Times New Roman" w:cs="Times New Roman"/>
        </w:rPr>
      </w:pPr>
      <w:r>
        <w:rPr>
          <w:rFonts w:ascii="Times New Roman" w:hAnsi="Times New Roman" w:cs="Times New Roman"/>
        </w:rPr>
        <w:t xml:space="preserve">The Federal Reserve is tightening its monetary policy – in short, raising interest rates by constraining the money supply. In the last year alone, the U.S. federal funds rate has increased by </w:t>
      </w:r>
      <w:r w:rsidR="003A43BB">
        <w:rPr>
          <w:rFonts w:ascii="Times New Roman" w:hAnsi="Times New Roman" w:cs="Times New Roman"/>
        </w:rPr>
        <w:t>375 basis points, the highest level since January 2008</w:t>
      </w:r>
      <w:r w:rsidR="00F42D5E">
        <w:rPr>
          <w:rFonts w:ascii="Times New Roman" w:hAnsi="Times New Roman" w:cs="Times New Roman"/>
        </w:rPr>
        <w:t xml:space="preserve"> when the Federal Reserve was cutting rates during the </w:t>
      </w:r>
      <w:r w:rsidR="008E3B0B">
        <w:rPr>
          <w:rFonts w:ascii="Times New Roman" w:hAnsi="Times New Roman" w:cs="Times New Roman"/>
        </w:rPr>
        <w:t>subprime mortgage crisis.</w:t>
      </w:r>
    </w:p>
    <w:p w14:paraId="483E99BF" w14:textId="40567D06" w:rsidR="00DB5C29" w:rsidRDefault="008E3B0B" w:rsidP="008E3B0B">
      <w:pPr>
        <w:jc w:val="center"/>
        <w:rPr>
          <w:rFonts w:ascii="Times New Roman" w:hAnsi="Times New Roman" w:cs="Times New Roman"/>
        </w:rPr>
      </w:pPr>
      <w:r>
        <w:rPr>
          <w:rFonts w:ascii="Times New Roman" w:hAnsi="Times New Roman" w:cs="Times New Roman"/>
          <w:noProof/>
        </w:rPr>
        <w:drawing>
          <wp:inline distT="0" distB="0" distL="0" distR="0" wp14:anchorId="65ADD58F" wp14:editId="04479CA9">
            <wp:extent cx="4523670" cy="29925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42287" cy="3004898"/>
                    </a:xfrm>
                    <a:prstGeom prst="rect">
                      <a:avLst/>
                    </a:prstGeom>
                  </pic:spPr>
                </pic:pic>
              </a:graphicData>
            </a:graphic>
          </wp:inline>
        </w:drawing>
      </w:r>
    </w:p>
    <w:p w14:paraId="687B32EB" w14:textId="692E12DB" w:rsidR="008E3B0B" w:rsidRDefault="008E3B0B" w:rsidP="008E3B0B">
      <w:pPr>
        <w:rPr>
          <w:rFonts w:ascii="Times New Roman" w:hAnsi="Times New Roman" w:cs="Times New Roman"/>
        </w:rPr>
      </w:pPr>
      <w:r>
        <w:rPr>
          <w:rFonts w:ascii="Times New Roman" w:hAnsi="Times New Roman" w:cs="Times New Roman"/>
          <w:b/>
          <w:bCs/>
        </w:rPr>
        <w:t>Fig. 1: Federal funds rate, 2005 – 2022</w:t>
      </w:r>
    </w:p>
    <w:p w14:paraId="562B49A0" w14:textId="169C0CA8" w:rsidR="00EC54AC" w:rsidRPr="00EC54AC" w:rsidRDefault="008E3B0B" w:rsidP="00EC54AC">
      <w:pPr>
        <w:rPr>
          <w:rFonts w:ascii="Times New Roman" w:hAnsi="Times New Roman" w:cs="Times New Roman"/>
        </w:rPr>
      </w:pPr>
      <w:r>
        <w:rPr>
          <w:rFonts w:ascii="Times New Roman" w:hAnsi="Times New Roman" w:cs="Times New Roman"/>
        </w:rPr>
        <w:t>During the 2008 Financial Crisis and concurrent Great Recession (20</w:t>
      </w:r>
      <w:r w:rsidRPr="008E3B0B">
        <w:rPr>
          <w:rFonts w:ascii="Times New Roman" w:hAnsi="Times New Roman" w:cs="Times New Roman"/>
        </w:rPr>
        <w:t>07</w:t>
      </w:r>
      <w:r>
        <w:rPr>
          <w:rFonts w:ascii="Times New Roman" w:hAnsi="Times New Roman" w:cs="Times New Roman"/>
        </w:rPr>
        <w:t>-2009), the Federal Reserve slashed the federal funds rate to near-zero, where it stayed for over half a decade</w:t>
      </w:r>
      <w:r w:rsidR="00435E4E">
        <w:rPr>
          <w:rFonts w:ascii="Times New Roman" w:hAnsi="Times New Roman" w:cs="Times New Roman"/>
        </w:rPr>
        <w:t xml:space="preserve">; this </w:t>
      </w:r>
      <w:r w:rsidR="00435E4E">
        <w:rPr>
          <w:rFonts w:ascii="Times New Roman" w:hAnsi="Times New Roman" w:cs="Times New Roman"/>
        </w:rPr>
        <w:lastRenderedPageBreak/>
        <w:t>economic expansion with simultaneously loose monetary policy created a unique investment environment</w:t>
      </w:r>
      <w:r w:rsidR="00EC54AC">
        <w:rPr>
          <w:rFonts w:ascii="Times New Roman" w:hAnsi="Times New Roman" w:cs="Times New Roman"/>
        </w:rPr>
        <w:t xml:space="preserve">; </w:t>
      </w:r>
      <w:r w:rsidR="00EC54AC" w:rsidRPr="00EC54AC">
        <w:rPr>
          <w:rFonts w:ascii="Times New Roman" w:hAnsi="Times New Roman" w:cs="Times New Roman"/>
        </w:rPr>
        <w:t xml:space="preserve">low cost of capital allowed investors to put money into companies that they may not have invested in </w:t>
      </w:r>
      <w:r w:rsidR="00EC54AC">
        <w:rPr>
          <w:rFonts w:ascii="Times New Roman" w:hAnsi="Times New Roman" w:cs="Times New Roman"/>
        </w:rPr>
        <w:t>had</w:t>
      </w:r>
      <w:r w:rsidR="00EC54AC" w:rsidRPr="00EC54AC">
        <w:rPr>
          <w:rFonts w:ascii="Times New Roman" w:hAnsi="Times New Roman" w:cs="Times New Roman"/>
        </w:rPr>
        <w:t xml:space="preserve"> interest rates been higher. This was </w:t>
      </w:r>
      <w:r w:rsidR="00EC54AC" w:rsidRPr="00EC54AC">
        <w:rPr>
          <w:rFonts w:ascii="Times New Roman" w:hAnsi="Times New Roman" w:cs="Times New Roman"/>
        </w:rPr>
        <w:t>since</w:t>
      </w:r>
      <w:r w:rsidR="00EC54AC" w:rsidRPr="00EC54AC">
        <w:rPr>
          <w:rFonts w:ascii="Times New Roman" w:hAnsi="Times New Roman" w:cs="Times New Roman"/>
        </w:rPr>
        <w:t xml:space="preserve"> interest rates were at historically low levels during this time, which made it relatively cheap for investors to borrow money to finance their investments.</w:t>
      </w:r>
    </w:p>
    <w:p w14:paraId="55B47356" w14:textId="77777777" w:rsidR="00EC54AC" w:rsidRPr="00EC54AC" w:rsidRDefault="00EC54AC" w:rsidP="00EC54AC">
      <w:pPr>
        <w:rPr>
          <w:rFonts w:ascii="Times New Roman" w:hAnsi="Times New Roman" w:cs="Times New Roman"/>
        </w:rPr>
      </w:pPr>
    </w:p>
    <w:p w14:paraId="06B99FE2" w14:textId="0F394093" w:rsidR="00EC54AC" w:rsidRDefault="00EC54AC" w:rsidP="00EC54AC">
      <w:pPr>
        <w:rPr>
          <w:rFonts w:ascii="Times New Roman" w:hAnsi="Times New Roman" w:cs="Times New Roman"/>
        </w:rPr>
      </w:pPr>
      <w:r w:rsidRPr="00EC54AC">
        <w:rPr>
          <w:rFonts w:ascii="Times New Roman" w:hAnsi="Times New Roman" w:cs="Times New Roman"/>
        </w:rPr>
        <w:t>As a result, investors were able to take advantage of the low cost of capital by investing in a wider range of companies and assets. This increased demand for stocks and other assets, which helped to drive up their prices and contribute to the overall growth of the economy.</w:t>
      </w:r>
    </w:p>
    <w:p w14:paraId="2779BBD2" w14:textId="77777777" w:rsidR="00EC54AC" w:rsidRPr="00EC54AC" w:rsidRDefault="00EC54AC" w:rsidP="00EC54AC">
      <w:pPr>
        <w:rPr>
          <w:rFonts w:ascii="Times New Roman" w:hAnsi="Times New Roman" w:cs="Times New Roman"/>
        </w:rPr>
      </w:pPr>
    </w:p>
    <w:p w14:paraId="042739B7" w14:textId="77777777" w:rsidR="00EC54AC" w:rsidRPr="00EC54AC" w:rsidRDefault="00EC54AC" w:rsidP="00EC54AC">
      <w:pPr>
        <w:rPr>
          <w:rFonts w:ascii="Times New Roman" w:hAnsi="Times New Roman" w:cs="Times New Roman"/>
        </w:rPr>
      </w:pPr>
      <w:r w:rsidRPr="00EC54AC">
        <w:rPr>
          <w:rFonts w:ascii="Times New Roman" w:hAnsi="Times New Roman" w:cs="Times New Roman"/>
        </w:rPr>
        <w:t>Additionally, the low cost of capital allowed companies to access more financing, which they could use to invest in new projects and expand their operations. This helped to drive economic growth and create jobs, as companies were able to invest in new technologies and innovations that would not have been possible with higher interest rates.</w:t>
      </w:r>
    </w:p>
    <w:p w14:paraId="01F40859" w14:textId="09F0FB1A" w:rsidR="00EC54AC" w:rsidRDefault="00EC54AC" w:rsidP="00EC54AC">
      <w:pPr>
        <w:rPr>
          <w:rFonts w:ascii="Times New Roman" w:hAnsi="Times New Roman" w:cs="Times New Roman"/>
        </w:rPr>
      </w:pPr>
    </w:p>
    <w:p w14:paraId="3CA2CED8" w14:textId="2DA528D1" w:rsidR="00EC54AC" w:rsidRPr="00EC54AC" w:rsidRDefault="00EC54AC" w:rsidP="00EC54AC">
      <w:pPr>
        <w:rPr>
          <w:rFonts w:ascii="Times New Roman" w:hAnsi="Times New Roman" w:cs="Times New Roman"/>
        </w:rPr>
      </w:pPr>
      <w:r>
        <w:rPr>
          <w:rFonts w:ascii="Times New Roman" w:hAnsi="Times New Roman" w:cs="Times New Roman"/>
        </w:rPr>
        <w:t xml:space="preserve">This is part of the mechanism of countercyclical monetary policy, </w:t>
      </w:r>
      <w:r w:rsidRPr="00EC54AC">
        <w:rPr>
          <w:rFonts w:ascii="Times New Roman" w:hAnsi="Times New Roman" w:cs="Times New Roman"/>
        </w:rPr>
        <w:t xml:space="preserve">was part of normal countercyclical monetary policy, which is a policy used by central banks to help stimulate economic growth during periods of economic downturn. Typically, during a recession, a central bank will lower interest rates </w:t>
      </w:r>
      <w:r w:rsidRPr="00EC54AC">
        <w:rPr>
          <w:rFonts w:ascii="Times New Roman" w:hAnsi="Times New Roman" w:cs="Times New Roman"/>
        </w:rPr>
        <w:t>to</w:t>
      </w:r>
      <w:r w:rsidRPr="00EC54AC">
        <w:rPr>
          <w:rFonts w:ascii="Times New Roman" w:hAnsi="Times New Roman" w:cs="Times New Roman"/>
        </w:rPr>
        <w:t xml:space="preserve"> make it cheaper for businesses and consumers to borrow money and finance new projects or investments. This can help to stimulate economic activity and help the economy recover from the downturn.</w:t>
      </w:r>
    </w:p>
    <w:p w14:paraId="4CE60923" w14:textId="77777777" w:rsidR="00EC54AC" w:rsidRPr="00EC54AC" w:rsidRDefault="00EC54AC" w:rsidP="00EC54AC">
      <w:pPr>
        <w:rPr>
          <w:rFonts w:ascii="Times New Roman" w:hAnsi="Times New Roman" w:cs="Times New Roman"/>
        </w:rPr>
      </w:pPr>
    </w:p>
    <w:p w14:paraId="2FF9674C" w14:textId="1A5DDD79" w:rsidR="00EC54AC" w:rsidRPr="00EC54AC" w:rsidRDefault="00EC54AC" w:rsidP="00EC54AC">
      <w:pPr>
        <w:rPr>
          <w:rFonts w:ascii="Times New Roman" w:hAnsi="Times New Roman" w:cs="Times New Roman"/>
        </w:rPr>
      </w:pPr>
      <w:r w:rsidRPr="00EC54AC">
        <w:rPr>
          <w:rFonts w:ascii="Times New Roman" w:hAnsi="Times New Roman" w:cs="Times New Roman"/>
        </w:rPr>
        <w:t xml:space="preserve">However, during the 2010-2020 period, the economy was in an expansionary phase, and interest rates were already at historically low levels. Despite this, the Federal Reserve and other central banks continued to pursue a policy of low interest rates, </w:t>
      </w:r>
      <w:r w:rsidR="001C3678" w:rsidRPr="00EC54AC">
        <w:rPr>
          <w:rFonts w:ascii="Times New Roman" w:hAnsi="Times New Roman" w:cs="Times New Roman"/>
        </w:rPr>
        <w:t>to</w:t>
      </w:r>
      <w:r w:rsidRPr="00EC54AC">
        <w:rPr>
          <w:rFonts w:ascii="Times New Roman" w:hAnsi="Times New Roman" w:cs="Times New Roman"/>
        </w:rPr>
        <w:t xml:space="preserve"> support economic growth and prevent a potential downturn.</w:t>
      </w:r>
    </w:p>
    <w:p w14:paraId="0DFC9173" w14:textId="77777777" w:rsidR="00EC54AC" w:rsidRPr="00EC54AC" w:rsidRDefault="00EC54AC" w:rsidP="00EC54AC">
      <w:pPr>
        <w:rPr>
          <w:rFonts w:ascii="Times New Roman" w:hAnsi="Times New Roman" w:cs="Times New Roman"/>
        </w:rPr>
      </w:pPr>
    </w:p>
    <w:p w14:paraId="2B20199C" w14:textId="77777777" w:rsidR="00EC54AC" w:rsidRDefault="00EC54AC" w:rsidP="00EC54AC">
      <w:pPr>
        <w:rPr>
          <w:rFonts w:ascii="Times New Roman" w:hAnsi="Times New Roman" w:cs="Times New Roman"/>
        </w:rPr>
      </w:pPr>
      <w:r w:rsidRPr="00EC54AC">
        <w:rPr>
          <w:rFonts w:ascii="Times New Roman" w:hAnsi="Times New Roman" w:cs="Times New Roman"/>
        </w:rPr>
        <w:t>While this policy may have helped to support economic growth and prevent a recession, it has also raised concerns among some economists and analysts. These concerns include the possibility that the low interest rates have created overleveraged companies and that the market is due for a correction.</w:t>
      </w:r>
    </w:p>
    <w:p w14:paraId="0C0737DA" w14:textId="77777777" w:rsidR="00EC54AC" w:rsidRDefault="00EC54AC" w:rsidP="00EC54AC">
      <w:pPr>
        <w:rPr>
          <w:rFonts w:ascii="Times New Roman" w:hAnsi="Times New Roman" w:cs="Times New Roman"/>
        </w:rPr>
      </w:pPr>
    </w:p>
    <w:p w14:paraId="2D649D27" w14:textId="1130D724" w:rsidR="00EC54AC" w:rsidRPr="00EC54AC" w:rsidRDefault="00EC54AC" w:rsidP="00EC54AC">
      <w:pPr>
        <w:rPr>
          <w:rFonts w:ascii="Times New Roman" w:hAnsi="Times New Roman" w:cs="Times New Roman"/>
        </w:rPr>
      </w:pPr>
      <w:r w:rsidRPr="00EC54AC">
        <w:rPr>
          <w:rFonts w:ascii="Times New Roman" w:hAnsi="Times New Roman" w:cs="Times New Roman"/>
        </w:rPr>
        <w:t xml:space="preserve"> </w:t>
      </w:r>
      <w:r w:rsidR="001C3678" w:rsidRPr="00EC54AC">
        <w:rPr>
          <w:rFonts w:ascii="Times New Roman" w:hAnsi="Times New Roman" w:cs="Times New Roman"/>
        </w:rPr>
        <w:t>Some</w:t>
      </w:r>
      <w:r w:rsidRPr="00EC54AC">
        <w:rPr>
          <w:rFonts w:ascii="Times New Roman" w:hAnsi="Times New Roman" w:cs="Times New Roman"/>
        </w:rPr>
        <w:t xml:space="preserve"> analysts worry that the low cost of capital has encouraged companies to take on too much debt and that they may be unable to repay this debt if interest rates were to rise in the future.</w:t>
      </w:r>
    </w:p>
    <w:p w14:paraId="07EDB9BD" w14:textId="77777777" w:rsidR="00EC54AC" w:rsidRPr="00EC54AC" w:rsidRDefault="00EC54AC" w:rsidP="00EC54AC">
      <w:pPr>
        <w:rPr>
          <w:rFonts w:ascii="Times New Roman" w:hAnsi="Times New Roman" w:cs="Times New Roman"/>
        </w:rPr>
      </w:pPr>
    </w:p>
    <w:p w14:paraId="45FB2F99" w14:textId="77777777" w:rsidR="00EC54AC" w:rsidRPr="00EC54AC" w:rsidRDefault="00EC54AC" w:rsidP="00EC54AC">
      <w:pPr>
        <w:rPr>
          <w:rFonts w:ascii="Times New Roman" w:hAnsi="Times New Roman" w:cs="Times New Roman"/>
        </w:rPr>
      </w:pPr>
      <w:r w:rsidRPr="00EC54AC">
        <w:rPr>
          <w:rFonts w:ascii="Times New Roman" w:hAnsi="Times New Roman" w:cs="Times New Roman"/>
        </w:rPr>
        <w:t>Overall, while the low cost of capital during the 2010-2020 period may have helped to support economic growth, it has also raised concerns among some economists and analysts who fear that it may have created overleveraged companies and that the market is due for a correction.</w:t>
      </w:r>
    </w:p>
    <w:p w14:paraId="7CDDD3D5" w14:textId="60397C0E" w:rsidR="00EC54AC" w:rsidRPr="00EC54AC" w:rsidRDefault="00EC54AC" w:rsidP="00EC54AC">
      <w:pPr>
        <w:rPr>
          <w:rFonts w:ascii="Times New Roman" w:hAnsi="Times New Roman" w:cs="Times New Roman"/>
        </w:rPr>
      </w:pPr>
    </w:p>
    <w:p w14:paraId="07E4733E" w14:textId="77777777" w:rsidR="00EC54AC" w:rsidRPr="00EC54AC" w:rsidRDefault="00EC54AC" w:rsidP="00EC54AC">
      <w:pPr>
        <w:rPr>
          <w:rFonts w:ascii="Times New Roman" w:hAnsi="Times New Roman" w:cs="Times New Roman"/>
        </w:rPr>
      </w:pPr>
    </w:p>
    <w:p w14:paraId="4F94D6BC" w14:textId="6225B4BD" w:rsidR="00EC54AC" w:rsidRDefault="00EC54AC" w:rsidP="00EC54AC">
      <w:pPr>
        <w:rPr>
          <w:rFonts w:ascii="Times New Roman" w:hAnsi="Times New Roman" w:cs="Times New Roman"/>
        </w:rPr>
      </w:pPr>
      <w:r w:rsidRPr="00EC54AC">
        <w:rPr>
          <w:rFonts w:ascii="Times New Roman" w:hAnsi="Times New Roman" w:cs="Times New Roman"/>
        </w:rPr>
        <w:t>Overall, the 2010-2020 period was characterized by a low cost of capital, which allowed investors to put money into companies that they may not have invested in if interest rates had been higher. This contributed to the growth of the economy and the development of new technologies and innovations.</w:t>
      </w:r>
    </w:p>
    <w:p w14:paraId="1AF31F25" w14:textId="77777777" w:rsidR="00EC54AC" w:rsidRDefault="00EC54AC" w:rsidP="008E3B0B">
      <w:pPr>
        <w:rPr>
          <w:rFonts w:ascii="Times New Roman" w:hAnsi="Times New Roman" w:cs="Times New Roman"/>
        </w:rPr>
      </w:pPr>
    </w:p>
    <w:p w14:paraId="4F6826EC" w14:textId="69AA0D4A" w:rsidR="00435E4E" w:rsidRDefault="00435E4E" w:rsidP="008E3B0B">
      <w:pPr>
        <w:rPr>
          <w:rFonts w:ascii="Times New Roman" w:hAnsi="Times New Roman" w:cs="Times New Roman"/>
        </w:rPr>
      </w:pPr>
    </w:p>
    <w:p w14:paraId="3BCCBCC1" w14:textId="036FB9FA" w:rsidR="00435E4E" w:rsidRDefault="00435E4E" w:rsidP="008E3B0B">
      <w:pPr>
        <w:rPr>
          <w:rFonts w:ascii="Times New Roman" w:hAnsi="Times New Roman" w:cs="Times New Roman"/>
        </w:rPr>
      </w:pPr>
      <w:r>
        <w:rPr>
          <w:rFonts w:ascii="Times New Roman" w:hAnsi="Times New Roman" w:cs="Times New Roman"/>
        </w:rPr>
        <w:lastRenderedPageBreak/>
        <w:t xml:space="preserve">Following the COVID-19 pandemic which disrupted the global economy and spurred unprecedented </w:t>
      </w:r>
      <w:r>
        <w:rPr>
          <w:rFonts w:ascii="Times New Roman" w:hAnsi="Times New Roman" w:cs="Times New Roman"/>
        </w:rPr>
        <w:t>monetary</w:t>
      </w:r>
      <w:r>
        <w:rPr>
          <w:rFonts w:ascii="Times New Roman" w:hAnsi="Times New Roman" w:cs="Times New Roman"/>
        </w:rPr>
        <w:t xml:space="preserve"> and fiscal easing, U.S. inflation remains </w:t>
      </w:r>
      <w:r>
        <w:rPr>
          <w:rFonts w:ascii="Times New Roman" w:hAnsi="Times New Roman" w:cs="Times New Roman"/>
        </w:rPr>
        <w:t xml:space="preserve">elevated, and economists debate the degree to which inflation is becoming an endemic issue in the economy. In response, the Federal Reserve has in recent months been particularly aggressive in its tightening of monetary policy, rattling markets in the process. </w:t>
      </w:r>
    </w:p>
    <w:p w14:paraId="703E69A2" w14:textId="25676670" w:rsidR="00435E4E" w:rsidRDefault="00435E4E" w:rsidP="008E3B0B">
      <w:pPr>
        <w:rPr>
          <w:rFonts w:ascii="Times New Roman" w:hAnsi="Times New Roman" w:cs="Times New Roman"/>
        </w:rPr>
      </w:pPr>
    </w:p>
    <w:p w14:paraId="61FFD873" w14:textId="72073A01" w:rsidR="00435E4E" w:rsidRDefault="00435E4E" w:rsidP="008E3B0B">
      <w:pPr>
        <w:rPr>
          <w:rFonts w:ascii="Times New Roman" w:hAnsi="Times New Roman" w:cs="Times New Roman"/>
        </w:rPr>
      </w:pPr>
    </w:p>
    <w:p w14:paraId="6BB073BA" w14:textId="77777777" w:rsidR="00435E4E" w:rsidRDefault="00435E4E" w:rsidP="008E3B0B">
      <w:pPr>
        <w:rPr>
          <w:rFonts w:ascii="Times New Roman" w:hAnsi="Times New Roman" w:cs="Times New Roman"/>
        </w:rPr>
      </w:pPr>
    </w:p>
    <w:p w14:paraId="54141A91" w14:textId="08AAA493" w:rsidR="008E3B0B" w:rsidRPr="00D70AF1" w:rsidRDefault="00D70AF1" w:rsidP="00D70AF1">
      <w:pPr>
        <w:pStyle w:val="ListParagraph"/>
        <w:numPr>
          <w:ilvl w:val="0"/>
          <w:numId w:val="1"/>
        </w:numPr>
        <w:rPr>
          <w:rFonts w:ascii="Times New Roman" w:hAnsi="Times New Roman" w:cs="Times New Roman"/>
          <w:b/>
          <w:bCs/>
        </w:rPr>
      </w:pPr>
      <w:r w:rsidRPr="00D70AF1">
        <w:rPr>
          <w:rFonts w:ascii="Times New Roman" w:hAnsi="Times New Roman" w:cs="Times New Roman"/>
          <w:b/>
          <w:bCs/>
        </w:rPr>
        <w:t>Analysis and Methods</w:t>
      </w:r>
    </w:p>
    <w:p w14:paraId="5858367F" w14:textId="0970E237" w:rsidR="008E3B0B" w:rsidRDefault="008E3B0B" w:rsidP="008E3B0B">
      <w:pPr>
        <w:rPr>
          <w:rFonts w:ascii="Times New Roman" w:hAnsi="Times New Roman" w:cs="Times New Roman"/>
          <w:b/>
          <w:bCs/>
        </w:rPr>
      </w:pPr>
    </w:p>
    <w:p w14:paraId="4AA31127" w14:textId="2D634B22" w:rsidR="00C41565" w:rsidRPr="00C41565" w:rsidRDefault="00C41565" w:rsidP="008E3B0B">
      <w:pPr>
        <w:rPr>
          <w:rFonts w:ascii="Times New Roman" w:hAnsi="Times New Roman" w:cs="Times New Roman"/>
        </w:rPr>
      </w:pPr>
      <w:r>
        <w:rPr>
          <w:rFonts w:ascii="Times New Roman" w:hAnsi="Times New Roman" w:cs="Times New Roman"/>
        </w:rPr>
        <w:t>This section describes the process of data collection, data processing and wrangling, and statistical modeling methods used.</w:t>
      </w:r>
    </w:p>
    <w:p w14:paraId="61805C6D" w14:textId="77777777" w:rsidR="00C41565" w:rsidRPr="008E3B0B" w:rsidRDefault="00C41565" w:rsidP="008E3B0B">
      <w:pPr>
        <w:rPr>
          <w:rFonts w:ascii="Times New Roman" w:hAnsi="Times New Roman" w:cs="Times New Roman"/>
          <w:b/>
          <w:bCs/>
        </w:rPr>
      </w:pPr>
    </w:p>
    <w:p w14:paraId="61F8742A" w14:textId="77777777" w:rsidR="00194C5F" w:rsidRDefault="00194C5F" w:rsidP="00DB5C29">
      <w:pPr>
        <w:rPr>
          <w:rFonts w:ascii="Times New Roman" w:hAnsi="Times New Roman" w:cs="Times New Roman"/>
        </w:rPr>
      </w:pPr>
    </w:p>
    <w:p w14:paraId="3914EEC9" w14:textId="731BDE97" w:rsidR="00DB5C29" w:rsidRPr="00194C5F" w:rsidRDefault="00194C5F" w:rsidP="00194C5F">
      <w:pPr>
        <w:pStyle w:val="ListParagraph"/>
        <w:numPr>
          <w:ilvl w:val="1"/>
          <w:numId w:val="1"/>
        </w:numPr>
        <w:rPr>
          <w:rFonts w:ascii="Times New Roman" w:hAnsi="Times New Roman" w:cs="Times New Roman"/>
        </w:rPr>
      </w:pPr>
      <w:r>
        <w:rPr>
          <w:rFonts w:ascii="Times New Roman" w:hAnsi="Times New Roman" w:cs="Times New Roman"/>
        </w:rPr>
        <w:t xml:space="preserve">   </w:t>
      </w:r>
      <w:r w:rsidR="00DB5C29" w:rsidRPr="00194C5F">
        <w:rPr>
          <w:rFonts w:ascii="Times New Roman" w:hAnsi="Times New Roman" w:cs="Times New Roman"/>
        </w:rPr>
        <w:t>Data and Data Collection</w:t>
      </w:r>
    </w:p>
    <w:p w14:paraId="475B7F52" w14:textId="1C304D86" w:rsidR="00DB5C29" w:rsidRDefault="00DB5C29" w:rsidP="00DB5C29">
      <w:pPr>
        <w:rPr>
          <w:rFonts w:ascii="Times New Roman" w:hAnsi="Times New Roman" w:cs="Times New Roman"/>
        </w:rPr>
      </w:pPr>
    </w:p>
    <w:p w14:paraId="041AD444" w14:textId="5B87E204" w:rsidR="00DB5C29" w:rsidRDefault="00435E4E" w:rsidP="00DB5C29">
      <w:pPr>
        <w:rPr>
          <w:rFonts w:ascii="Times New Roman" w:hAnsi="Times New Roman" w:cs="Times New Roman"/>
        </w:rPr>
      </w:pPr>
      <w:r>
        <w:rPr>
          <w:rFonts w:ascii="Times New Roman" w:hAnsi="Times New Roman" w:cs="Times New Roman"/>
        </w:rPr>
        <w:t xml:space="preserve">This project </w:t>
      </w:r>
      <w:r w:rsidR="00D70AF1">
        <w:rPr>
          <w:rFonts w:ascii="Times New Roman" w:hAnsi="Times New Roman" w:cs="Times New Roman"/>
        </w:rPr>
        <w:t>compiles</w:t>
      </w:r>
      <w:r>
        <w:rPr>
          <w:rFonts w:ascii="Times New Roman" w:hAnsi="Times New Roman" w:cs="Times New Roman"/>
        </w:rPr>
        <w:t xml:space="preserve"> internal financial data from individual companies’ quarterly reports. These include </w:t>
      </w:r>
      <w:r w:rsidR="00D70AF1">
        <w:rPr>
          <w:rFonts w:ascii="Times New Roman" w:hAnsi="Times New Roman" w:cs="Times New Roman"/>
        </w:rPr>
        <w:t xml:space="preserve">earnings (reported earnings per share and deviation from consensus analyst expectations), income statements (revenue and profits, operating incomes and expenditures, EBITDA), balance sheets (assets and liabilities), </w:t>
      </w:r>
      <w:r w:rsidR="00C41565">
        <w:rPr>
          <w:rFonts w:ascii="Times New Roman" w:hAnsi="Times New Roman" w:cs="Times New Roman"/>
        </w:rPr>
        <w:t>and quarterly cash flows.</w:t>
      </w:r>
    </w:p>
    <w:p w14:paraId="06F689B3" w14:textId="3B0D4E20" w:rsidR="00C41565" w:rsidRDefault="00C41565" w:rsidP="00DB5C29">
      <w:pPr>
        <w:rPr>
          <w:rFonts w:ascii="Times New Roman" w:hAnsi="Times New Roman" w:cs="Times New Roman"/>
        </w:rPr>
      </w:pPr>
    </w:p>
    <w:p w14:paraId="087B0103" w14:textId="7B7F0B51" w:rsidR="00C41565" w:rsidRDefault="0028404D" w:rsidP="00DB5C29">
      <w:pPr>
        <w:rPr>
          <w:rFonts w:ascii="Times New Roman" w:hAnsi="Times New Roman" w:cs="Times New Roman"/>
        </w:rPr>
      </w:pPr>
      <w:r>
        <w:rPr>
          <w:rFonts w:ascii="Times New Roman" w:hAnsi="Times New Roman" w:cs="Times New Roman"/>
        </w:rPr>
        <w:t>Premium access</w:t>
      </w:r>
      <w:r w:rsidR="00C41565">
        <w:rPr>
          <w:rFonts w:ascii="Times New Roman" w:hAnsi="Times New Roman" w:cs="Times New Roman"/>
        </w:rPr>
        <w:t xml:space="preserve"> to a financial data REST API hosted by Alpha Vantage</w:t>
      </w:r>
      <w:r w:rsidR="00C41565">
        <w:rPr>
          <w:rStyle w:val="FootnoteReference"/>
          <w:rFonts w:ascii="Times New Roman" w:hAnsi="Times New Roman" w:cs="Times New Roman"/>
        </w:rPr>
        <w:footnoteReference w:id="1"/>
      </w:r>
      <w:r w:rsidR="00C41565">
        <w:rPr>
          <w:rFonts w:ascii="Times New Roman" w:hAnsi="Times New Roman" w:cs="Times New Roman"/>
        </w:rPr>
        <w:t xml:space="preserve"> was generously granted for this project. The organization “</w:t>
      </w:r>
      <w:r w:rsidR="00C41565" w:rsidRPr="00C41565">
        <w:rPr>
          <w:rFonts w:ascii="Times New Roman" w:hAnsi="Times New Roman" w:cs="Times New Roman"/>
        </w:rPr>
        <w:t>provides enterprise-grade financial market data through a set of powerful and developer-friendly data APIs and spreadsheets.</w:t>
      </w:r>
      <w:r w:rsidR="00C41565">
        <w:rPr>
          <w:rFonts w:ascii="Times New Roman" w:hAnsi="Times New Roman" w:cs="Times New Roman"/>
        </w:rPr>
        <w:t xml:space="preserve">” </w:t>
      </w:r>
      <w:r>
        <w:rPr>
          <w:rFonts w:ascii="Times New Roman" w:hAnsi="Times New Roman" w:cs="Times New Roman"/>
        </w:rPr>
        <w:t xml:space="preserve">The API gives output for a single company at a time represented by its stock symbol, in a single category (earnings, income statements, balance sheets, and cash flows), for each API call. The raw data </w:t>
      </w:r>
      <w:r w:rsidR="004853D6">
        <w:rPr>
          <w:rFonts w:ascii="Times New Roman" w:hAnsi="Times New Roman" w:cs="Times New Roman"/>
        </w:rPr>
        <w:t>came</w:t>
      </w:r>
      <w:r>
        <w:rPr>
          <w:rFonts w:ascii="Times New Roman" w:hAnsi="Times New Roman" w:cs="Times New Roman"/>
        </w:rPr>
        <w:t xml:space="preserve"> in JSON output</w:t>
      </w:r>
      <w:r w:rsidR="004853D6">
        <w:rPr>
          <w:rFonts w:ascii="Times New Roman" w:hAnsi="Times New Roman" w:cs="Times New Roman"/>
        </w:rPr>
        <w:t xml:space="preserve"> and was reformatted during the collection process in Python before being joined using R</w:t>
      </w:r>
      <w:r>
        <w:rPr>
          <w:rFonts w:ascii="Times New Roman" w:hAnsi="Times New Roman" w:cs="Times New Roman"/>
        </w:rPr>
        <w:t xml:space="preserve">. Additionally, </w:t>
      </w:r>
      <w:r w:rsidR="004853D6">
        <w:rPr>
          <w:rFonts w:ascii="Times New Roman" w:hAnsi="Times New Roman" w:cs="Times New Roman"/>
        </w:rPr>
        <w:t xml:space="preserve">descriptions, titles, and general information about the companies’ industries and categories were collected. Macroeconomic </w:t>
      </w:r>
      <w:r>
        <w:rPr>
          <w:rFonts w:ascii="Times New Roman" w:hAnsi="Times New Roman" w:cs="Times New Roman"/>
        </w:rPr>
        <w:t xml:space="preserve">data including interest rates, quarterly year-over-year GDP growth, </w:t>
      </w:r>
      <w:r w:rsidR="004853D6">
        <w:rPr>
          <w:rFonts w:ascii="Times New Roman" w:hAnsi="Times New Roman" w:cs="Times New Roman"/>
        </w:rPr>
        <w:t xml:space="preserve">and consumer demand </w:t>
      </w:r>
      <w:r>
        <w:rPr>
          <w:rFonts w:ascii="Times New Roman" w:hAnsi="Times New Roman" w:cs="Times New Roman"/>
        </w:rPr>
        <w:t xml:space="preserve">was collected from the API and from the </w:t>
      </w:r>
      <w:r w:rsidR="004853D6">
        <w:rPr>
          <w:rFonts w:ascii="Times New Roman" w:hAnsi="Times New Roman" w:cs="Times New Roman"/>
        </w:rPr>
        <w:t xml:space="preserve">St. Louis </w:t>
      </w:r>
      <w:r>
        <w:rPr>
          <w:rFonts w:ascii="Times New Roman" w:hAnsi="Times New Roman" w:cs="Times New Roman"/>
        </w:rPr>
        <w:t>Federal Reserve</w:t>
      </w:r>
      <w:r w:rsidR="004853D6">
        <w:rPr>
          <w:rFonts w:ascii="Times New Roman" w:hAnsi="Times New Roman" w:cs="Times New Roman"/>
        </w:rPr>
        <w:t>’s</w:t>
      </w:r>
      <w:r>
        <w:rPr>
          <w:rFonts w:ascii="Times New Roman" w:hAnsi="Times New Roman" w:cs="Times New Roman"/>
        </w:rPr>
        <w:t xml:space="preserve"> Economic Data (FRED) website.</w:t>
      </w:r>
    </w:p>
    <w:p w14:paraId="0C6C3767" w14:textId="2E962517" w:rsidR="00DB5C29" w:rsidRDefault="00DB5C29" w:rsidP="00DB5C29">
      <w:pPr>
        <w:rPr>
          <w:rFonts w:ascii="Times New Roman" w:hAnsi="Times New Roman" w:cs="Times New Roman"/>
        </w:rPr>
      </w:pPr>
    </w:p>
    <w:p w14:paraId="0A78FECF" w14:textId="63F2DA9E" w:rsidR="00893403" w:rsidRDefault="0028404D" w:rsidP="00DB5C29">
      <w:pPr>
        <w:rPr>
          <w:rFonts w:ascii="Times New Roman" w:hAnsi="Times New Roman" w:cs="Times New Roman"/>
        </w:rPr>
      </w:pPr>
      <w:r>
        <w:rPr>
          <w:rFonts w:ascii="Times New Roman" w:hAnsi="Times New Roman" w:cs="Times New Roman"/>
        </w:rPr>
        <w:t xml:space="preserve">Financial reporting data was requested from the API for 4,215 unique companies listed on the NYSE, NYSE MKT, and NASDAQ exchanges. The 4,215 stock symbols were </w:t>
      </w:r>
      <w:r w:rsidR="004853D6">
        <w:rPr>
          <w:rFonts w:ascii="Times New Roman" w:hAnsi="Times New Roman" w:cs="Times New Roman"/>
        </w:rPr>
        <w:t xml:space="preserve">identified using NASDAQ’s stock screener tool, and data was collected using Python. Out of the 4,215 symbols for which data was requested, the API returned </w:t>
      </w:r>
      <w:r w:rsidR="00893403">
        <w:rPr>
          <w:rFonts w:ascii="Times New Roman" w:hAnsi="Times New Roman" w:cs="Times New Roman"/>
        </w:rPr>
        <w:t>more than 70,000 individual quarterly reports</w:t>
      </w:r>
      <w:r w:rsidR="004853D6">
        <w:rPr>
          <w:rFonts w:ascii="Times New Roman" w:hAnsi="Times New Roman" w:cs="Times New Roman"/>
        </w:rPr>
        <w:t xml:space="preserve"> for 3,946</w:t>
      </w:r>
      <w:r w:rsidR="00893403">
        <w:rPr>
          <w:rFonts w:ascii="Times New Roman" w:hAnsi="Times New Roman" w:cs="Times New Roman"/>
        </w:rPr>
        <w:t xml:space="preserve"> companies</w:t>
      </w:r>
      <w:r w:rsidR="004853D6">
        <w:rPr>
          <w:rFonts w:ascii="Times New Roman" w:hAnsi="Times New Roman" w:cs="Times New Roman"/>
        </w:rPr>
        <w:t xml:space="preserve"> (93.6%</w:t>
      </w:r>
      <w:r w:rsidR="00893403">
        <w:rPr>
          <w:rFonts w:ascii="Times New Roman" w:hAnsi="Times New Roman" w:cs="Times New Roman"/>
        </w:rPr>
        <w:t xml:space="preserve"> of symbols traded on New York’s exchanges</w:t>
      </w:r>
      <w:r w:rsidR="004853D6">
        <w:rPr>
          <w:rFonts w:ascii="Times New Roman" w:hAnsi="Times New Roman" w:cs="Times New Roman"/>
        </w:rPr>
        <w:t>). The final dataset, which eliminated companies for which there were missing values in any of the key parameters needed for modeling</w:t>
      </w:r>
      <w:r w:rsidR="00893403">
        <w:rPr>
          <w:rFonts w:ascii="Times New Roman" w:hAnsi="Times New Roman" w:cs="Times New Roman"/>
        </w:rPr>
        <w:t xml:space="preserve"> and in any of the quarterly earnings reports (including prior ones excluded from modeling in this project)</w:t>
      </w:r>
      <w:r w:rsidR="004853D6">
        <w:rPr>
          <w:rFonts w:ascii="Times New Roman" w:hAnsi="Times New Roman" w:cs="Times New Roman"/>
        </w:rPr>
        <w:t xml:space="preserve"> totaled </w:t>
      </w:r>
      <w:r w:rsidR="00893403">
        <w:rPr>
          <w:rFonts w:ascii="Times New Roman" w:hAnsi="Times New Roman" w:cs="Times New Roman"/>
        </w:rPr>
        <w:t>38,566 earnings reports for 2,648 companies (62.82% of symbols traded).</w:t>
      </w:r>
    </w:p>
    <w:p w14:paraId="22D3CC8A" w14:textId="76B9CBD1" w:rsidR="00DB5C29" w:rsidRDefault="00DB5C29" w:rsidP="00DB5C29">
      <w:pPr>
        <w:rPr>
          <w:rFonts w:ascii="Times New Roman" w:hAnsi="Times New Roman" w:cs="Times New Roman"/>
        </w:rPr>
      </w:pPr>
    </w:p>
    <w:p w14:paraId="50CD0AC2" w14:textId="72A3E157" w:rsidR="00893403" w:rsidRDefault="005B33E4" w:rsidP="00DB5C29">
      <w:pPr>
        <w:rPr>
          <w:rFonts w:ascii="Times New Roman" w:hAnsi="Times New Roman" w:cs="Times New Roman"/>
        </w:rPr>
      </w:pPr>
      <w:r>
        <w:rPr>
          <w:rFonts w:ascii="Times New Roman" w:hAnsi="Times New Roman" w:cs="Times New Roman"/>
        </w:rPr>
        <w:t>For the relatively limited scope of this project, only the latest earnings report for each company is included for modeling.</w:t>
      </w:r>
      <w:r w:rsidR="00904BCA">
        <w:rPr>
          <w:rFonts w:ascii="Times New Roman" w:hAnsi="Times New Roman" w:cs="Times New Roman"/>
        </w:rPr>
        <w:t xml:space="preserve"> As such this project pertains solely to the </w:t>
      </w:r>
      <w:r w:rsidR="00433410">
        <w:rPr>
          <w:rFonts w:ascii="Times New Roman" w:hAnsi="Times New Roman" w:cs="Times New Roman"/>
        </w:rPr>
        <w:t>Q3</w:t>
      </w:r>
      <w:r w:rsidR="00904BCA">
        <w:rPr>
          <w:rFonts w:ascii="Times New Roman" w:hAnsi="Times New Roman" w:cs="Times New Roman"/>
        </w:rPr>
        <w:t xml:space="preserve"> of 2022</w:t>
      </w:r>
      <w:r w:rsidR="00433410">
        <w:rPr>
          <w:rFonts w:ascii="Times New Roman" w:hAnsi="Times New Roman" w:cs="Times New Roman"/>
        </w:rPr>
        <w:t xml:space="preserve"> and in a limited scope, Q2 of 2022</w:t>
      </w:r>
      <w:r w:rsidR="00904BCA">
        <w:rPr>
          <w:rFonts w:ascii="Times New Roman" w:hAnsi="Times New Roman" w:cs="Times New Roman"/>
        </w:rPr>
        <w:t>.</w:t>
      </w:r>
    </w:p>
    <w:p w14:paraId="7BBFF3D1" w14:textId="77777777" w:rsidR="00893403" w:rsidRDefault="00893403" w:rsidP="00DB5C29">
      <w:pPr>
        <w:rPr>
          <w:rFonts w:ascii="Times New Roman" w:hAnsi="Times New Roman" w:cs="Times New Roman"/>
        </w:rPr>
      </w:pPr>
    </w:p>
    <w:p w14:paraId="5948E507" w14:textId="2A3150F9" w:rsidR="00DB5C29" w:rsidRPr="004853D6" w:rsidRDefault="004853D6" w:rsidP="004853D6">
      <w:pPr>
        <w:pStyle w:val="ListParagraph"/>
        <w:numPr>
          <w:ilvl w:val="1"/>
          <w:numId w:val="1"/>
        </w:numPr>
        <w:rPr>
          <w:rFonts w:ascii="Times New Roman" w:hAnsi="Times New Roman" w:cs="Times New Roman"/>
        </w:rPr>
      </w:pPr>
      <w:r>
        <w:rPr>
          <w:rFonts w:ascii="Times New Roman" w:hAnsi="Times New Roman" w:cs="Times New Roman"/>
        </w:rPr>
        <w:t xml:space="preserve"> </w:t>
      </w:r>
      <w:r w:rsidR="00DB5C29" w:rsidRPr="004853D6">
        <w:rPr>
          <w:rFonts w:ascii="Times New Roman" w:hAnsi="Times New Roman" w:cs="Times New Roman"/>
        </w:rPr>
        <w:t>Data Preprocessing</w:t>
      </w:r>
      <w:r w:rsidR="005B33E4">
        <w:rPr>
          <w:rFonts w:ascii="Times New Roman" w:hAnsi="Times New Roman" w:cs="Times New Roman"/>
        </w:rPr>
        <w:t xml:space="preserve">, Normalization, and </w:t>
      </w:r>
      <w:r>
        <w:rPr>
          <w:rFonts w:ascii="Times New Roman" w:hAnsi="Times New Roman" w:cs="Times New Roman"/>
        </w:rPr>
        <w:t>Feature Engineering</w:t>
      </w:r>
    </w:p>
    <w:p w14:paraId="5ABE5BD1" w14:textId="0DF98BCB" w:rsidR="00D70AF1" w:rsidRDefault="00D70AF1" w:rsidP="00DB5C29">
      <w:pPr>
        <w:rPr>
          <w:rFonts w:ascii="Times New Roman" w:hAnsi="Times New Roman" w:cs="Times New Roman"/>
          <w:b/>
          <w:bCs/>
        </w:rPr>
      </w:pPr>
    </w:p>
    <w:p w14:paraId="7A35ACE5" w14:textId="58D9EE61" w:rsidR="001C3678" w:rsidRPr="005B33E4" w:rsidRDefault="005B33E4" w:rsidP="001C3678">
      <w:pPr>
        <w:rPr>
          <w:rFonts w:ascii="Times New Roman" w:hAnsi="Times New Roman" w:cs="Times New Roman"/>
        </w:rPr>
      </w:pPr>
      <w:r>
        <w:rPr>
          <w:rFonts w:ascii="Times New Roman" w:hAnsi="Times New Roman" w:cs="Times New Roman"/>
        </w:rPr>
        <w:t>The raw data contains a very large number of features, with the following selected to use in modeling.</w:t>
      </w:r>
      <w:r w:rsidR="001C3678">
        <w:rPr>
          <w:rFonts w:ascii="Times New Roman" w:hAnsi="Times New Roman" w:cs="Times New Roman"/>
        </w:rPr>
        <w:t xml:space="preserve"> </w:t>
      </w:r>
      <w:r w:rsidR="001C3678">
        <w:rPr>
          <w:rFonts w:ascii="Times New Roman" w:hAnsi="Times New Roman" w:cs="Times New Roman"/>
        </w:rPr>
        <w:t xml:space="preserve">Companies in the dataset, and in general, differ significantly in terms of operational size and capital structure. Therefore, key financial ratios were calculated </w:t>
      </w:r>
      <w:r w:rsidR="00432F49">
        <w:rPr>
          <w:rFonts w:ascii="Times New Roman" w:hAnsi="Times New Roman" w:cs="Times New Roman"/>
        </w:rPr>
        <w:t>and will be used as a basis for modeling</w:t>
      </w:r>
      <w:r w:rsidR="001C3678">
        <w:rPr>
          <w:rFonts w:ascii="Times New Roman" w:hAnsi="Times New Roman" w:cs="Times New Roman"/>
        </w:rPr>
        <w:t xml:space="preserve">, which </w:t>
      </w:r>
      <w:r w:rsidR="00432F49">
        <w:rPr>
          <w:rFonts w:ascii="Times New Roman" w:hAnsi="Times New Roman" w:cs="Times New Roman"/>
        </w:rPr>
        <w:t>accounts for different</w:t>
      </w:r>
      <w:r w:rsidR="001C3678">
        <w:rPr>
          <w:rFonts w:ascii="Times New Roman" w:hAnsi="Times New Roman" w:cs="Times New Roman"/>
        </w:rPr>
        <w:t xml:space="preserve"> company size</w:t>
      </w:r>
      <w:r w:rsidR="00432F49">
        <w:rPr>
          <w:rFonts w:ascii="Times New Roman" w:hAnsi="Times New Roman" w:cs="Times New Roman"/>
        </w:rPr>
        <w:t>s</w:t>
      </w:r>
      <w:r w:rsidR="001C3678">
        <w:rPr>
          <w:rFonts w:ascii="Times New Roman" w:hAnsi="Times New Roman" w:cs="Times New Roman"/>
        </w:rPr>
        <w:t xml:space="preserve">. </w:t>
      </w:r>
      <w:r w:rsidR="00432F49">
        <w:rPr>
          <w:rFonts w:ascii="Times New Roman" w:hAnsi="Times New Roman" w:cs="Times New Roman"/>
        </w:rPr>
        <w:t>The following features are kept:</w:t>
      </w:r>
    </w:p>
    <w:p w14:paraId="3974AFC1" w14:textId="7836C0CD" w:rsidR="00893403" w:rsidRPr="00893403" w:rsidRDefault="00893403" w:rsidP="00DB5C29">
      <w:pPr>
        <w:rPr>
          <w:rFonts w:ascii="Times New Roman" w:hAnsi="Times New Roman" w:cs="Times New Roman"/>
        </w:rPr>
      </w:pPr>
    </w:p>
    <w:p w14:paraId="3921E182" w14:textId="63D51C8E" w:rsidR="00D70AF1" w:rsidRDefault="00D70AF1" w:rsidP="00DB5C29">
      <w:pPr>
        <w:rPr>
          <w:rFonts w:ascii="Times New Roman" w:hAnsi="Times New Roman" w:cs="Times New Roman"/>
          <w:b/>
          <w:bCs/>
        </w:rPr>
      </w:pP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4950"/>
        <w:gridCol w:w="3240"/>
      </w:tblGrid>
      <w:tr w:rsidR="00EF5AE5" w14:paraId="1C20BAAE" w14:textId="08B17FB0" w:rsidTr="00433410">
        <w:tc>
          <w:tcPr>
            <w:tcW w:w="1885" w:type="dxa"/>
            <w:shd w:val="clear" w:color="auto" w:fill="A6A6A6" w:themeFill="background1" w:themeFillShade="A6"/>
          </w:tcPr>
          <w:p w14:paraId="09FAE76A" w14:textId="00A06478" w:rsidR="00EF5AE5" w:rsidRPr="00EF5AE5" w:rsidRDefault="00EF5AE5" w:rsidP="005B33E4">
            <w:pPr>
              <w:jc w:val="center"/>
              <w:rPr>
                <w:rFonts w:ascii="Times New Roman" w:hAnsi="Times New Roman" w:cs="Times New Roman"/>
                <w:b/>
                <w:bCs/>
                <w:sz w:val="20"/>
                <w:szCs w:val="20"/>
              </w:rPr>
            </w:pPr>
            <w:r w:rsidRPr="00EF5AE5">
              <w:rPr>
                <w:rFonts w:ascii="Times New Roman" w:hAnsi="Times New Roman" w:cs="Times New Roman"/>
                <w:b/>
                <w:bCs/>
                <w:sz w:val="20"/>
                <w:szCs w:val="20"/>
              </w:rPr>
              <w:t>Variable</w:t>
            </w:r>
          </w:p>
        </w:tc>
        <w:tc>
          <w:tcPr>
            <w:tcW w:w="4950" w:type="dxa"/>
            <w:shd w:val="clear" w:color="auto" w:fill="A6A6A6" w:themeFill="background1" w:themeFillShade="A6"/>
          </w:tcPr>
          <w:p w14:paraId="798C92E3" w14:textId="27CCB5E1" w:rsidR="00EF5AE5" w:rsidRPr="00EF5AE5" w:rsidRDefault="00EF5AE5" w:rsidP="00EF5AE5">
            <w:pPr>
              <w:rPr>
                <w:rFonts w:ascii="Times New Roman" w:hAnsi="Times New Roman" w:cs="Times New Roman"/>
                <w:b/>
                <w:bCs/>
                <w:sz w:val="20"/>
                <w:szCs w:val="20"/>
              </w:rPr>
            </w:pPr>
            <w:r w:rsidRPr="00EF5AE5">
              <w:rPr>
                <w:rFonts w:ascii="Times New Roman" w:hAnsi="Times New Roman" w:cs="Times New Roman"/>
                <w:b/>
                <w:bCs/>
                <w:sz w:val="20"/>
                <w:szCs w:val="20"/>
              </w:rPr>
              <w:t>Description</w:t>
            </w:r>
          </w:p>
        </w:tc>
        <w:tc>
          <w:tcPr>
            <w:tcW w:w="3240" w:type="dxa"/>
            <w:shd w:val="clear" w:color="auto" w:fill="A6A6A6" w:themeFill="background1" w:themeFillShade="A6"/>
          </w:tcPr>
          <w:p w14:paraId="1C7C35BE" w14:textId="6A70DBEE" w:rsidR="00EF5AE5" w:rsidRPr="00EF5AE5" w:rsidRDefault="00EF5AE5" w:rsidP="00EF5AE5">
            <w:pPr>
              <w:rPr>
                <w:rFonts w:ascii="Times New Roman" w:hAnsi="Times New Roman" w:cs="Times New Roman"/>
                <w:b/>
                <w:bCs/>
                <w:sz w:val="20"/>
                <w:szCs w:val="20"/>
              </w:rPr>
            </w:pPr>
            <w:r>
              <w:rPr>
                <w:rFonts w:ascii="Times New Roman" w:hAnsi="Times New Roman" w:cs="Times New Roman"/>
                <w:b/>
                <w:bCs/>
                <w:sz w:val="20"/>
                <w:szCs w:val="20"/>
              </w:rPr>
              <w:t>Type</w:t>
            </w:r>
          </w:p>
        </w:tc>
      </w:tr>
      <w:tr w:rsidR="00EF5AE5" w14:paraId="2429DD6F" w14:textId="64267357" w:rsidTr="00433410">
        <w:tc>
          <w:tcPr>
            <w:tcW w:w="1885" w:type="dxa"/>
          </w:tcPr>
          <w:p w14:paraId="0557A631" w14:textId="1301072F" w:rsidR="00EF5AE5" w:rsidRPr="00EF5AE5" w:rsidRDefault="00EF5AE5" w:rsidP="00DB5C29">
            <w:pPr>
              <w:rPr>
                <w:rFonts w:ascii="Times New Roman" w:hAnsi="Times New Roman" w:cs="Times New Roman"/>
                <w:sz w:val="20"/>
                <w:szCs w:val="20"/>
              </w:rPr>
            </w:pPr>
            <w:r w:rsidRPr="00EF5AE5">
              <w:rPr>
                <w:rFonts w:ascii="Times New Roman" w:hAnsi="Times New Roman" w:cs="Times New Roman"/>
                <w:sz w:val="20"/>
                <w:szCs w:val="20"/>
              </w:rPr>
              <w:t>Stock symbol</w:t>
            </w:r>
          </w:p>
        </w:tc>
        <w:tc>
          <w:tcPr>
            <w:tcW w:w="4950" w:type="dxa"/>
          </w:tcPr>
          <w:p w14:paraId="0E8F55FC" w14:textId="6981EAE5" w:rsidR="00EF5AE5" w:rsidRPr="00EF5AE5" w:rsidRDefault="00EF5AE5" w:rsidP="00DB5C29">
            <w:pPr>
              <w:rPr>
                <w:rFonts w:ascii="Times New Roman" w:hAnsi="Times New Roman" w:cs="Times New Roman"/>
                <w:sz w:val="20"/>
                <w:szCs w:val="20"/>
              </w:rPr>
            </w:pPr>
            <w:r w:rsidRPr="00EF5AE5">
              <w:rPr>
                <w:rFonts w:ascii="Times New Roman" w:hAnsi="Times New Roman" w:cs="Times New Roman"/>
                <w:sz w:val="20"/>
                <w:szCs w:val="20"/>
              </w:rPr>
              <w:t>Company’s unique stock symbol</w:t>
            </w:r>
          </w:p>
        </w:tc>
        <w:tc>
          <w:tcPr>
            <w:tcW w:w="3240" w:type="dxa"/>
          </w:tcPr>
          <w:p w14:paraId="3223CF16" w14:textId="575ED9B2"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Character</w:t>
            </w:r>
          </w:p>
        </w:tc>
      </w:tr>
      <w:tr w:rsidR="00EF5AE5" w14:paraId="2F043915" w14:textId="22CC49D9" w:rsidTr="00433410">
        <w:tc>
          <w:tcPr>
            <w:tcW w:w="1885" w:type="dxa"/>
            <w:shd w:val="clear" w:color="auto" w:fill="D9D9D9" w:themeFill="background1" w:themeFillShade="D9"/>
          </w:tcPr>
          <w:p w14:paraId="571CEFD4" w14:textId="1FE100CE" w:rsidR="00EF5AE5" w:rsidRPr="00EF5AE5" w:rsidRDefault="00EF5AE5" w:rsidP="00DB5C29">
            <w:pPr>
              <w:rPr>
                <w:rFonts w:ascii="Times New Roman" w:hAnsi="Times New Roman" w:cs="Times New Roman"/>
                <w:sz w:val="20"/>
                <w:szCs w:val="20"/>
              </w:rPr>
            </w:pPr>
            <w:r w:rsidRPr="00EF5AE5">
              <w:rPr>
                <w:rFonts w:ascii="Times New Roman" w:hAnsi="Times New Roman" w:cs="Times New Roman"/>
                <w:sz w:val="20"/>
                <w:szCs w:val="20"/>
              </w:rPr>
              <w:t>Exchange</w:t>
            </w:r>
          </w:p>
        </w:tc>
        <w:tc>
          <w:tcPr>
            <w:tcW w:w="4950" w:type="dxa"/>
            <w:shd w:val="clear" w:color="auto" w:fill="D9D9D9" w:themeFill="background1" w:themeFillShade="D9"/>
          </w:tcPr>
          <w:p w14:paraId="7CB5A8BC" w14:textId="77777777" w:rsidR="00EF5AE5" w:rsidRDefault="00EF5AE5" w:rsidP="00DB5C29">
            <w:pPr>
              <w:rPr>
                <w:rFonts w:ascii="Times New Roman" w:hAnsi="Times New Roman" w:cs="Times New Roman"/>
                <w:sz w:val="20"/>
                <w:szCs w:val="20"/>
              </w:rPr>
            </w:pPr>
            <w:r w:rsidRPr="00EF5AE5">
              <w:rPr>
                <w:rFonts w:ascii="Times New Roman" w:hAnsi="Times New Roman" w:cs="Times New Roman"/>
                <w:sz w:val="20"/>
                <w:szCs w:val="20"/>
              </w:rPr>
              <w:t>Exchange on which the company is traded</w:t>
            </w:r>
            <w:r>
              <w:rPr>
                <w:rFonts w:ascii="Times New Roman" w:hAnsi="Times New Roman" w:cs="Times New Roman"/>
                <w:sz w:val="20"/>
                <w:szCs w:val="20"/>
              </w:rPr>
              <w:t>:</w:t>
            </w:r>
          </w:p>
          <w:p w14:paraId="0C297F45" w14:textId="36F2D8FE"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NYSE, NYSE MKT, NASDAQ</w:t>
            </w:r>
          </w:p>
        </w:tc>
        <w:tc>
          <w:tcPr>
            <w:tcW w:w="3240" w:type="dxa"/>
            <w:shd w:val="clear" w:color="auto" w:fill="D9D9D9" w:themeFill="background1" w:themeFillShade="D9"/>
          </w:tcPr>
          <w:p w14:paraId="1239CEEB" w14:textId="6B143C69"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 xml:space="preserve">Categorical </w:t>
            </w:r>
          </w:p>
        </w:tc>
      </w:tr>
      <w:tr w:rsidR="00EF5AE5" w14:paraId="55D53A63" w14:textId="4EC3D2FB" w:rsidTr="00433410">
        <w:tc>
          <w:tcPr>
            <w:tcW w:w="1885" w:type="dxa"/>
          </w:tcPr>
          <w:p w14:paraId="6C319EC9" w14:textId="41F9F0C3" w:rsidR="00EF5AE5" w:rsidRPr="00EF5AE5" w:rsidRDefault="00EF5AE5" w:rsidP="00DB5C29">
            <w:pPr>
              <w:rPr>
                <w:rFonts w:ascii="Times New Roman" w:hAnsi="Times New Roman" w:cs="Times New Roman"/>
                <w:sz w:val="20"/>
                <w:szCs w:val="20"/>
              </w:rPr>
            </w:pPr>
            <w:r w:rsidRPr="00EF5AE5">
              <w:rPr>
                <w:rFonts w:ascii="Times New Roman" w:hAnsi="Times New Roman" w:cs="Times New Roman"/>
                <w:sz w:val="20"/>
                <w:szCs w:val="20"/>
              </w:rPr>
              <w:t>Quarter end date</w:t>
            </w:r>
          </w:p>
        </w:tc>
        <w:tc>
          <w:tcPr>
            <w:tcW w:w="4950" w:type="dxa"/>
          </w:tcPr>
          <w:p w14:paraId="46A57DBB" w14:textId="169EF470" w:rsidR="00EF5AE5" w:rsidRPr="00EF5AE5" w:rsidRDefault="00EF5AE5" w:rsidP="00DB5C29">
            <w:pPr>
              <w:rPr>
                <w:rFonts w:ascii="Times New Roman" w:hAnsi="Times New Roman" w:cs="Times New Roman"/>
                <w:sz w:val="20"/>
                <w:szCs w:val="20"/>
              </w:rPr>
            </w:pPr>
            <w:r w:rsidRPr="00EF5AE5">
              <w:rPr>
                <w:rFonts w:ascii="Times New Roman" w:hAnsi="Times New Roman" w:cs="Times New Roman"/>
                <w:sz w:val="20"/>
                <w:szCs w:val="20"/>
              </w:rPr>
              <w:t>Fiscal end of quarter</w:t>
            </w:r>
            <w:r>
              <w:rPr>
                <w:rFonts w:ascii="Times New Roman" w:hAnsi="Times New Roman" w:cs="Times New Roman"/>
                <w:sz w:val="20"/>
                <w:szCs w:val="20"/>
              </w:rPr>
              <w:t>, varies by company</w:t>
            </w:r>
          </w:p>
        </w:tc>
        <w:tc>
          <w:tcPr>
            <w:tcW w:w="3240" w:type="dxa"/>
          </w:tcPr>
          <w:p w14:paraId="4981B735" w14:textId="24A32046"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Date</w:t>
            </w:r>
          </w:p>
        </w:tc>
      </w:tr>
      <w:tr w:rsidR="00EF5AE5" w14:paraId="4616163A" w14:textId="105E45CC" w:rsidTr="00433410">
        <w:tc>
          <w:tcPr>
            <w:tcW w:w="1885" w:type="dxa"/>
            <w:shd w:val="clear" w:color="auto" w:fill="D9D9D9" w:themeFill="background1" w:themeFillShade="D9"/>
          </w:tcPr>
          <w:p w14:paraId="623D1370" w14:textId="66A1D71B" w:rsidR="00EF5AE5" w:rsidRPr="00EF5AE5" w:rsidRDefault="00EF5AE5" w:rsidP="00DB5C29">
            <w:pPr>
              <w:rPr>
                <w:rFonts w:ascii="Times New Roman" w:hAnsi="Times New Roman" w:cs="Times New Roman"/>
                <w:sz w:val="20"/>
                <w:szCs w:val="20"/>
              </w:rPr>
            </w:pPr>
            <w:r w:rsidRPr="00EF5AE5">
              <w:rPr>
                <w:rFonts w:ascii="Times New Roman" w:hAnsi="Times New Roman" w:cs="Times New Roman"/>
                <w:sz w:val="20"/>
                <w:szCs w:val="20"/>
              </w:rPr>
              <w:t>Sector</w:t>
            </w:r>
          </w:p>
        </w:tc>
        <w:tc>
          <w:tcPr>
            <w:tcW w:w="4950" w:type="dxa"/>
            <w:shd w:val="clear" w:color="auto" w:fill="D9D9D9" w:themeFill="background1" w:themeFillShade="D9"/>
          </w:tcPr>
          <w:p w14:paraId="57C6FEA4" w14:textId="77777777" w:rsidR="00EF5AE5" w:rsidRDefault="00EF5AE5" w:rsidP="00DB5C29">
            <w:pPr>
              <w:rPr>
                <w:rFonts w:ascii="Times New Roman" w:hAnsi="Times New Roman" w:cs="Times New Roman"/>
                <w:sz w:val="20"/>
                <w:szCs w:val="20"/>
              </w:rPr>
            </w:pPr>
            <w:r w:rsidRPr="00EF5AE5">
              <w:rPr>
                <w:rFonts w:ascii="Times New Roman" w:hAnsi="Times New Roman" w:cs="Times New Roman"/>
                <w:sz w:val="20"/>
                <w:szCs w:val="20"/>
              </w:rPr>
              <w:t>Primary economic sector of the company</w:t>
            </w:r>
            <w:r>
              <w:rPr>
                <w:rFonts w:ascii="Times New Roman" w:hAnsi="Times New Roman" w:cs="Times New Roman"/>
                <w:sz w:val="20"/>
                <w:szCs w:val="20"/>
              </w:rPr>
              <w:t>:</w:t>
            </w:r>
          </w:p>
          <w:p w14:paraId="5C1FABFE" w14:textId="6A232F69"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Life Sciences, Energy &amp; Transportation, Finance, Manufacturing, Technology, Real Estate &amp; Construction, Trade &amp; Services</w:t>
            </w:r>
          </w:p>
        </w:tc>
        <w:tc>
          <w:tcPr>
            <w:tcW w:w="3240" w:type="dxa"/>
            <w:shd w:val="clear" w:color="auto" w:fill="D9D9D9" w:themeFill="background1" w:themeFillShade="D9"/>
          </w:tcPr>
          <w:p w14:paraId="0BA858E9" w14:textId="617FE87E"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Categorical (Life Sciences, Energy &amp; Transportation</w:t>
            </w:r>
          </w:p>
        </w:tc>
      </w:tr>
      <w:tr w:rsidR="00EF5AE5" w14:paraId="33702A05" w14:textId="5467A627" w:rsidTr="00433410">
        <w:tc>
          <w:tcPr>
            <w:tcW w:w="1885" w:type="dxa"/>
          </w:tcPr>
          <w:p w14:paraId="0A49F73F" w14:textId="39701798"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State</w:t>
            </w:r>
          </w:p>
        </w:tc>
        <w:tc>
          <w:tcPr>
            <w:tcW w:w="4950" w:type="dxa"/>
          </w:tcPr>
          <w:p w14:paraId="529EDC24" w14:textId="324AA64C"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State where company is headquartered</w:t>
            </w:r>
          </w:p>
        </w:tc>
        <w:tc>
          <w:tcPr>
            <w:tcW w:w="3240" w:type="dxa"/>
          </w:tcPr>
          <w:p w14:paraId="275E1942" w14:textId="55CFBADA"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Categorical</w:t>
            </w:r>
          </w:p>
        </w:tc>
      </w:tr>
      <w:tr w:rsidR="00EF5AE5" w14:paraId="0095C502" w14:textId="77777777" w:rsidTr="00433410">
        <w:tc>
          <w:tcPr>
            <w:tcW w:w="1885" w:type="dxa"/>
            <w:shd w:val="clear" w:color="auto" w:fill="D9D9D9" w:themeFill="background1" w:themeFillShade="D9"/>
          </w:tcPr>
          <w:p w14:paraId="1BE08C7D" w14:textId="2AB1BD5C"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Size</w:t>
            </w:r>
          </w:p>
        </w:tc>
        <w:tc>
          <w:tcPr>
            <w:tcW w:w="4950" w:type="dxa"/>
            <w:shd w:val="clear" w:color="auto" w:fill="D9D9D9" w:themeFill="background1" w:themeFillShade="D9"/>
          </w:tcPr>
          <w:p w14:paraId="107A595A" w14:textId="7C4B6709"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Discretized variable for market capitalization, representing the size of the company</w:t>
            </w:r>
          </w:p>
        </w:tc>
        <w:tc>
          <w:tcPr>
            <w:tcW w:w="3240" w:type="dxa"/>
            <w:shd w:val="clear" w:color="auto" w:fill="D9D9D9" w:themeFill="background1" w:themeFillShade="D9"/>
          </w:tcPr>
          <w:p w14:paraId="40C27F2D" w14:textId="2D94F13D"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Categorical</w:t>
            </w:r>
          </w:p>
        </w:tc>
      </w:tr>
      <w:tr w:rsidR="00EF5AE5" w14:paraId="07192084" w14:textId="77777777" w:rsidTr="00433410">
        <w:tc>
          <w:tcPr>
            <w:tcW w:w="1885" w:type="dxa"/>
          </w:tcPr>
          <w:p w14:paraId="3CE9E269" w14:textId="58CF5578"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EPS</w:t>
            </w:r>
          </w:p>
        </w:tc>
        <w:tc>
          <w:tcPr>
            <w:tcW w:w="4950" w:type="dxa"/>
          </w:tcPr>
          <w:p w14:paraId="739FAB56" w14:textId="430AD72E"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 xml:space="preserve">Earnings per share </w:t>
            </w:r>
            <w:r w:rsidR="00904BCA">
              <w:rPr>
                <w:rFonts w:ascii="Times New Roman" w:hAnsi="Times New Roman" w:cs="Times New Roman"/>
                <w:sz w:val="20"/>
                <w:szCs w:val="20"/>
              </w:rPr>
              <w:t>in Dollars</w:t>
            </w:r>
          </w:p>
        </w:tc>
        <w:tc>
          <w:tcPr>
            <w:tcW w:w="3240" w:type="dxa"/>
          </w:tcPr>
          <w:p w14:paraId="4F7CF03C" w14:textId="7E8CFA8D"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Numeric</w:t>
            </w:r>
            <w:r w:rsidR="00904BCA">
              <w:rPr>
                <w:rFonts w:ascii="Times New Roman" w:hAnsi="Times New Roman" w:cs="Times New Roman"/>
                <w:sz w:val="20"/>
                <w:szCs w:val="20"/>
              </w:rPr>
              <w:t>, outcome variable</w:t>
            </w:r>
          </w:p>
        </w:tc>
      </w:tr>
      <w:tr w:rsidR="00EF5AE5" w14:paraId="6D2D5D3F" w14:textId="77777777" w:rsidTr="00433410">
        <w:tc>
          <w:tcPr>
            <w:tcW w:w="1885" w:type="dxa"/>
            <w:shd w:val="clear" w:color="auto" w:fill="D9D9D9" w:themeFill="background1" w:themeFillShade="D9"/>
          </w:tcPr>
          <w:p w14:paraId="244D6E48" w14:textId="3EDC7B71"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EPS binary</w:t>
            </w:r>
          </w:p>
        </w:tc>
        <w:tc>
          <w:tcPr>
            <w:tcW w:w="4950" w:type="dxa"/>
            <w:shd w:val="clear" w:color="auto" w:fill="D9D9D9" w:themeFill="background1" w:themeFillShade="D9"/>
          </w:tcPr>
          <w:p w14:paraId="498C7FD8" w14:textId="3698D7AD"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Binary – 1 if EPS was negative, 1 if positive</w:t>
            </w:r>
          </w:p>
        </w:tc>
        <w:tc>
          <w:tcPr>
            <w:tcW w:w="3240" w:type="dxa"/>
            <w:shd w:val="clear" w:color="auto" w:fill="D9D9D9" w:themeFill="background1" w:themeFillShade="D9"/>
          </w:tcPr>
          <w:p w14:paraId="2E116A72" w14:textId="00B976C2" w:rsidR="00EF5AE5" w:rsidRPr="00EF5AE5" w:rsidRDefault="00904BCA" w:rsidP="00DB5C29">
            <w:pPr>
              <w:rPr>
                <w:rFonts w:ascii="Times New Roman" w:hAnsi="Times New Roman" w:cs="Times New Roman"/>
                <w:sz w:val="20"/>
                <w:szCs w:val="20"/>
              </w:rPr>
            </w:pPr>
            <w:r>
              <w:rPr>
                <w:rFonts w:ascii="Times New Roman" w:hAnsi="Times New Roman" w:cs="Times New Roman"/>
                <w:sz w:val="20"/>
                <w:szCs w:val="20"/>
              </w:rPr>
              <w:t>Binary</w:t>
            </w:r>
            <w:r>
              <w:rPr>
                <w:rFonts w:ascii="Times New Roman" w:hAnsi="Times New Roman" w:cs="Times New Roman"/>
                <w:sz w:val="20"/>
                <w:szCs w:val="20"/>
              </w:rPr>
              <w:t>, outcome variable</w:t>
            </w:r>
          </w:p>
        </w:tc>
      </w:tr>
      <w:tr w:rsidR="00EF5AE5" w14:paraId="44AFDFDE" w14:textId="77777777" w:rsidTr="00433410">
        <w:tc>
          <w:tcPr>
            <w:tcW w:w="1885" w:type="dxa"/>
          </w:tcPr>
          <w:p w14:paraId="7024C484" w14:textId="6C496C3B"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EPS direction</w:t>
            </w:r>
          </w:p>
        </w:tc>
        <w:tc>
          <w:tcPr>
            <w:tcW w:w="4950" w:type="dxa"/>
          </w:tcPr>
          <w:p w14:paraId="4D93F99B" w14:textId="1B04FED5"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 xml:space="preserve">Change in EPS </w:t>
            </w:r>
            <w:r w:rsidR="00904BCA">
              <w:rPr>
                <w:rFonts w:ascii="Times New Roman" w:hAnsi="Times New Roman" w:cs="Times New Roman"/>
                <w:sz w:val="20"/>
                <w:szCs w:val="20"/>
              </w:rPr>
              <w:t>from previous quarter’s EPS</w:t>
            </w:r>
          </w:p>
        </w:tc>
        <w:tc>
          <w:tcPr>
            <w:tcW w:w="3240" w:type="dxa"/>
          </w:tcPr>
          <w:p w14:paraId="40DBA0AD" w14:textId="660D9830" w:rsidR="00EF5AE5" w:rsidRPr="00EF5AE5" w:rsidRDefault="00904BCA" w:rsidP="00DB5C29">
            <w:pPr>
              <w:rPr>
                <w:rFonts w:ascii="Times New Roman" w:hAnsi="Times New Roman" w:cs="Times New Roman"/>
                <w:sz w:val="20"/>
                <w:szCs w:val="20"/>
              </w:rPr>
            </w:pPr>
            <w:r>
              <w:rPr>
                <w:rFonts w:ascii="Times New Roman" w:hAnsi="Times New Roman" w:cs="Times New Roman"/>
                <w:sz w:val="20"/>
                <w:szCs w:val="20"/>
              </w:rPr>
              <w:t>Numeric</w:t>
            </w:r>
            <w:r>
              <w:rPr>
                <w:rFonts w:ascii="Times New Roman" w:hAnsi="Times New Roman" w:cs="Times New Roman"/>
                <w:sz w:val="20"/>
                <w:szCs w:val="20"/>
              </w:rPr>
              <w:t>, outcome variable</w:t>
            </w:r>
          </w:p>
        </w:tc>
      </w:tr>
      <w:tr w:rsidR="00EF5AE5" w14:paraId="2148420C" w14:textId="77777777" w:rsidTr="00433410">
        <w:tc>
          <w:tcPr>
            <w:tcW w:w="1885" w:type="dxa"/>
            <w:shd w:val="clear" w:color="auto" w:fill="D9D9D9" w:themeFill="background1" w:themeFillShade="D9"/>
          </w:tcPr>
          <w:p w14:paraId="4C93E5E2" w14:textId="4BC99914" w:rsidR="00EF5AE5" w:rsidRPr="00EF5AE5" w:rsidRDefault="00EF5AE5" w:rsidP="00DB5C29">
            <w:pPr>
              <w:rPr>
                <w:rFonts w:ascii="Times New Roman" w:hAnsi="Times New Roman" w:cs="Times New Roman"/>
                <w:sz w:val="20"/>
                <w:szCs w:val="20"/>
              </w:rPr>
            </w:pPr>
            <w:r>
              <w:rPr>
                <w:rFonts w:ascii="Times New Roman" w:hAnsi="Times New Roman" w:cs="Times New Roman"/>
                <w:sz w:val="20"/>
                <w:szCs w:val="20"/>
              </w:rPr>
              <w:t>EPS direction binary</w:t>
            </w:r>
          </w:p>
        </w:tc>
        <w:tc>
          <w:tcPr>
            <w:tcW w:w="4950" w:type="dxa"/>
            <w:shd w:val="clear" w:color="auto" w:fill="D9D9D9" w:themeFill="background1" w:themeFillShade="D9"/>
          </w:tcPr>
          <w:p w14:paraId="60E6DD53" w14:textId="1BDA6EB2" w:rsidR="00EF5AE5" w:rsidRPr="00EF5AE5" w:rsidRDefault="00904BCA" w:rsidP="00DB5C29">
            <w:pPr>
              <w:rPr>
                <w:rFonts w:ascii="Times New Roman" w:hAnsi="Times New Roman" w:cs="Times New Roman"/>
                <w:sz w:val="20"/>
                <w:szCs w:val="20"/>
              </w:rPr>
            </w:pPr>
            <w:r>
              <w:rPr>
                <w:rFonts w:ascii="Times New Roman" w:hAnsi="Times New Roman" w:cs="Times New Roman"/>
                <w:sz w:val="20"/>
                <w:szCs w:val="20"/>
              </w:rPr>
              <w:t>Change in EPS, binary – 1 if EPS increased, 0 if decreased</w:t>
            </w:r>
          </w:p>
        </w:tc>
        <w:tc>
          <w:tcPr>
            <w:tcW w:w="3240" w:type="dxa"/>
            <w:shd w:val="clear" w:color="auto" w:fill="D9D9D9" w:themeFill="background1" w:themeFillShade="D9"/>
          </w:tcPr>
          <w:p w14:paraId="13C5AB45" w14:textId="2AA5251A" w:rsidR="00EF5AE5" w:rsidRPr="00EF5AE5" w:rsidRDefault="00904BCA" w:rsidP="00DB5C29">
            <w:pPr>
              <w:rPr>
                <w:rFonts w:ascii="Times New Roman" w:hAnsi="Times New Roman" w:cs="Times New Roman"/>
                <w:sz w:val="20"/>
                <w:szCs w:val="20"/>
              </w:rPr>
            </w:pPr>
            <w:r>
              <w:rPr>
                <w:rFonts w:ascii="Times New Roman" w:hAnsi="Times New Roman" w:cs="Times New Roman"/>
                <w:sz w:val="20"/>
                <w:szCs w:val="20"/>
              </w:rPr>
              <w:t xml:space="preserve">Binary, </w:t>
            </w:r>
            <w:r>
              <w:rPr>
                <w:rFonts w:ascii="Times New Roman" w:hAnsi="Times New Roman" w:cs="Times New Roman"/>
                <w:sz w:val="20"/>
                <w:szCs w:val="20"/>
              </w:rPr>
              <w:t>outcome variable</w:t>
            </w:r>
          </w:p>
        </w:tc>
      </w:tr>
      <w:tr w:rsidR="00EF5AE5" w14:paraId="43335CAA" w14:textId="77777777" w:rsidTr="00433410">
        <w:tc>
          <w:tcPr>
            <w:tcW w:w="1885" w:type="dxa"/>
          </w:tcPr>
          <w:p w14:paraId="4B483FD7" w14:textId="6358C3A6" w:rsidR="00EF5AE5" w:rsidRPr="00EF5AE5" w:rsidRDefault="00904BCA" w:rsidP="00DB5C29">
            <w:pPr>
              <w:rPr>
                <w:rFonts w:ascii="Times New Roman" w:hAnsi="Times New Roman" w:cs="Times New Roman"/>
                <w:sz w:val="20"/>
                <w:szCs w:val="20"/>
              </w:rPr>
            </w:pPr>
            <w:r>
              <w:rPr>
                <w:rFonts w:ascii="Times New Roman" w:hAnsi="Times New Roman" w:cs="Times New Roman"/>
                <w:sz w:val="20"/>
                <w:szCs w:val="20"/>
              </w:rPr>
              <w:t>Total Revenue</w:t>
            </w:r>
          </w:p>
        </w:tc>
        <w:tc>
          <w:tcPr>
            <w:tcW w:w="4950" w:type="dxa"/>
          </w:tcPr>
          <w:p w14:paraId="2DC5F519" w14:textId="41D21EAE" w:rsidR="00EF5AE5" w:rsidRPr="00EF5AE5" w:rsidRDefault="00904BCA" w:rsidP="00DB5C29">
            <w:pPr>
              <w:rPr>
                <w:rFonts w:ascii="Times New Roman" w:hAnsi="Times New Roman" w:cs="Times New Roman"/>
                <w:sz w:val="20"/>
                <w:szCs w:val="20"/>
              </w:rPr>
            </w:pPr>
            <w:r>
              <w:rPr>
                <w:rFonts w:ascii="Times New Roman" w:hAnsi="Times New Roman" w:cs="Times New Roman"/>
                <w:sz w:val="20"/>
                <w:szCs w:val="20"/>
              </w:rPr>
              <w:t>Total Revenue in dollars</w:t>
            </w:r>
          </w:p>
        </w:tc>
        <w:tc>
          <w:tcPr>
            <w:tcW w:w="3240" w:type="dxa"/>
          </w:tcPr>
          <w:p w14:paraId="1E587954" w14:textId="4A115C3B" w:rsidR="00EF5AE5" w:rsidRPr="00EF5AE5" w:rsidRDefault="00904BCA" w:rsidP="00DB5C29">
            <w:pPr>
              <w:rPr>
                <w:rFonts w:ascii="Times New Roman" w:hAnsi="Times New Roman" w:cs="Times New Roman"/>
                <w:sz w:val="20"/>
                <w:szCs w:val="20"/>
              </w:rPr>
            </w:pPr>
            <w:r>
              <w:rPr>
                <w:rFonts w:ascii="Times New Roman" w:hAnsi="Times New Roman" w:cs="Times New Roman"/>
                <w:sz w:val="20"/>
                <w:szCs w:val="20"/>
              </w:rPr>
              <w:t>Numeric</w:t>
            </w:r>
          </w:p>
        </w:tc>
      </w:tr>
      <w:tr w:rsidR="00904BCA" w14:paraId="618A335F" w14:textId="77777777" w:rsidTr="00433410">
        <w:tc>
          <w:tcPr>
            <w:tcW w:w="1885" w:type="dxa"/>
            <w:shd w:val="clear" w:color="auto" w:fill="D9D9D9" w:themeFill="background1" w:themeFillShade="D9"/>
          </w:tcPr>
          <w:p w14:paraId="2A211A92" w14:textId="18583A99" w:rsidR="00904BCA" w:rsidRDefault="00904BCA" w:rsidP="00DB5C29">
            <w:pPr>
              <w:rPr>
                <w:rFonts w:ascii="Times New Roman" w:hAnsi="Times New Roman" w:cs="Times New Roman"/>
                <w:sz w:val="20"/>
                <w:szCs w:val="20"/>
              </w:rPr>
            </w:pPr>
            <w:r>
              <w:rPr>
                <w:rFonts w:ascii="Times New Roman" w:hAnsi="Times New Roman" w:cs="Times New Roman"/>
                <w:sz w:val="20"/>
                <w:szCs w:val="20"/>
              </w:rPr>
              <w:t>Profit margin</w:t>
            </w:r>
          </w:p>
        </w:tc>
        <w:tc>
          <w:tcPr>
            <w:tcW w:w="4950" w:type="dxa"/>
            <w:shd w:val="clear" w:color="auto" w:fill="D9D9D9" w:themeFill="background1" w:themeFillShade="D9"/>
          </w:tcPr>
          <w:p w14:paraId="53052157" w14:textId="560D03FB" w:rsidR="00904BCA" w:rsidRDefault="00904BCA" w:rsidP="00DB5C29">
            <w:pPr>
              <w:rPr>
                <w:rFonts w:ascii="Times New Roman" w:hAnsi="Times New Roman" w:cs="Times New Roman"/>
                <w:sz w:val="20"/>
                <w:szCs w:val="20"/>
              </w:rPr>
            </w:pPr>
            <w:r>
              <w:rPr>
                <w:rFonts w:ascii="Times New Roman" w:hAnsi="Times New Roman" w:cs="Times New Roman"/>
                <w:sz w:val="20"/>
                <w:szCs w:val="20"/>
              </w:rPr>
              <w:t>Net income to total revenue</w:t>
            </w:r>
          </w:p>
        </w:tc>
        <w:tc>
          <w:tcPr>
            <w:tcW w:w="3240" w:type="dxa"/>
            <w:shd w:val="clear" w:color="auto" w:fill="D9D9D9" w:themeFill="background1" w:themeFillShade="D9"/>
          </w:tcPr>
          <w:p w14:paraId="06DCD955" w14:textId="0D3EA3E6" w:rsidR="00904BCA" w:rsidRDefault="00904BCA" w:rsidP="00DB5C29">
            <w:pPr>
              <w:rPr>
                <w:rFonts w:ascii="Times New Roman" w:hAnsi="Times New Roman" w:cs="Times New Roman"/>
                <w:sz w:val="20"/>
                <w:szCs w:val="20"/>
              </w:rPr>
            </w:pPr>
            <w:r>
              <w:rPr>
                <w:rFonts w:ascii="Times New Roman" w:hAnsi="Times New Roman" w:cs="Times New Roman"/>
                <w:sz w:val="20"/>
                <w:szCs w:val="20"/>
              </w:rPr>
              <w:t>Numeric (ratio)</w:t>
            </w:r>
          </w:p>
        </w:tc>
      </w:tr>
      <w:tr w:rsidR="00904BCA" w14:paraId="6A0A2E2D" w14:textId="77777777" w:rsidTr="00433410">
        <w:tc>
          <w:tcPr>
            <w:tcW w:w="1885" w:type="dxa"/>
          </w:tcPr>
          <w:p w14:paraId="0BFE3EE7" w14:textId="74E0D20D" w:rsidR="00904BCA" w:rsidRDefault="00904BCA" w:rsidP="00DB5C29">
            <w:pPr>
              <w:rPr>
                <w:rFonts w:ascii="Times New Roman" w:hAnsi="Times New Roman" w:cs="Times New Roman"/>
                <w:sz w:val="20"/>
                <w:szCs w:val="20"/>
              </w:rPr>
            </w:pPr>
            <w:r>
              <w:rPr>
                <w:rFonts w:ascii="Times New Roman" w:hAnsi="Times New Roman" w:cs="Times New Roman"/>
                <w:sz w:val="20"/>
                <w:szCs w:val="20"/>
              </w:rPr>
              <w:t>EBITDA margin</w:t>
            </w:r>
          </w:p>
        </w:tc>
        <w:tc>
          <w:tcPr>
            <w:tcW w:w="4950" w:type="dxa"/>
          </w:tcPr>
          <w:p w14:paraId="33BFE0FC" w14:textId="7644F78B" w:rsidR="00904BCA" w:rsidRDefault="00904BCA" w:rsidP="00DB5C29">
            <w:pPr>
              <w:rPr>
                <w:rFonts w:ascii="Times New Roman" w:hAnsi="Times New Roman" w:cs="Times New Roman"/>
                <w:sz w:val="20"/>
                <w:szCs w:val="20"/>
              </w:rPr>
            </w:pPr>
            <w:r>
              <w:rPr>
                <w:rFonts w:ascii="Times New Roman" w:hAnsi="Times New Roman" w:cs="Times New Roman"/>
                <w:sz w:val="20"/>
                <w:szCs w:val="20"/>
              </w:rPr>
              <w:t>Earnings Before Interest, Taxes, Depreciation and Amortization (EBITDA) to total revenue</w:t>
            </w:r>
          </w:p>
        </w:tc>
        <w:tc>
          <w:tcPr>
            <w:tcW w:w="3240" w:type="dxa"/>
          </w:tcPr>
          <w:p w14:paraId="6326FECF" w14:textId="4EEC6452" w:rsidR="00904BCA" w:rsidRDefault="00904BCA" w:rsidP="00DB5C29">
            <w:pPr>
              <w:rPr>
                <w:rFonts w:ascii="Times New Roman" w:hAnsi="Times New Roman" w:cs="Times New Roman"/>
                <w:sz w:val="20"/>
                <w:szCs w:val="20"/>
              </w:rPr>
            </w:pPr>
            <w:r>
              <w:rPr>
                <w:rFonts w:ascii="Times New Roman" w:hAnsi="Times New Roman" w:cs="Times New Roman"/>
                <w:sz w:val="20"/>
                <w:szCs w:val="20"/>
              </w:rPr>
              <w:t>Numeric (ratio)</w:t>
            </w:r>
          </w:p>
        </w:tc>
      </w:tr>
      <w:tr w:rsidR="00EF5AE5" w14:paraId="438A67AE" w14:textId="77777777" w:rsidTr="00433410">
        <w:tc>
          <w:tcPr>
            <w:tcW w:w="1885" w:type="dxa"/>
            <w:shd w:val="clear" w:color="auto" w:fill="D9D9D9" w:themeFill="background1" w:themeFillShade="D9"/>
          </w:tcPr>
          <w:p w14:paraId="4809B3BB" w14:textId="4E88C2EC" w:rsidR="00EF5AE5" w:rsidRPr="00EF5AE5" w:rsidRDefault="00904BCA" w:rsidP="00DB5C29">
            <w:pPr>
              <w:rPr>
                <w:rFonts w:ascii="Times New Roman" w:hAnsi="Times New Roman" w:cs="Times New Roman"/>
                <w:sz w:val="20"/>
                <w:szCs w:val="20"/>
              </w:rPr>
            </w:pPr>
            <w:r>
              <w:rPr>
                <w:rFonts w:ascii="Times New Roman" w:hAnsi="Times New Roman" w:cs="Times New Roman"/>
                <w:sz w:val="20"/>
                <w:szCs w:val="20"/>
              </w:rPr>
              <w:t>Operating Margin</w:t>
            </w:r>
          </w:p>
        </w:tc>
        <w:tc>
          <w:tcPr>
            <w:tcW w:w="4950" w:type="dxa"/>
            <w:shd w:val="clear" w:color="auto" w:fill="D9D9D9" w:themeFill="background1" w:themeFillShade="D9"/>
          </w:tcPr>
          <w:p w14:paraId="3740E739" w14:textId="75DDE3C3" w:rsidR="00EF5AE5" w:rsidRPr="00EF5AE5" w:rsidRDefault="00904BCA" w:rsidP="00DB5C29">
            <w:pPr>
              <w:rPr>
                <w:rFonts w:ascii="Times New Roman" w:hAnsi="Times New Roman" w:cs="Times New Roman"/>
                <w:sz w:val="20"/>
                <w:szCs w:val="20"/>
              </w:rPr>
            </w:pPr>
            <w:r>
              <w:rPr>
                <w:rFonts w:ascii="Times New Roman" w:hAnsi="Times New Roman" w:cs="Times New Roman"/>
                <w:sz w:val="20"/>
                <w:szCs w:val="20"/>
              </w:rPr>
              <w:t xml:space="preserve"> Operating income to net income</w:t>
            </w:r>
          </w:p>
        </w:tc>
        <w:tc>
          <w:tcPr>
            <w:tcW w:w="3240" w:type="dxa"/>
            <w:shd w:val="clear" w:color="auto" w:fill="D9D9D9" w:themeFill="background1" w:themeFillShade="D9"/>
          </w:tcPr>
          <w:p w14:paraId="4FF34AD3" w14:textId="6B575A57" w:rsidR="00EF5AE5" w:rsidRPr="00EF5AE5" w:rsidRDefault="00904BCA" w:rsidP="00DB5C29">
            <w:pPr>
              <w:rPr>
                <w:rFonts w:ascii="Times New Roman" w:hAnsi="Times New Roman" w:cs="Times New Roman"/>
                <w:sz w:val="20"/>
                <w:szCs w:val="20"/>
              </w:rPr>
            </w:pPr>
            <w:r>
              <w:rPr>
                <w:rFonts w:ascii="Times New Roman" w:hAnsi="Times New Roman" w:cs="Times New Roman"/>
                <w:sz w:val="20"/>
                <w:szCs w:val="20"/>
              </w:rPr>
              <w:t>Numeric (ratio)</w:t>
            </w:r>
          </w:p>
        </w:tc>
      </w:tr>
      <w:tr w:rsidR="00904BCA" w14:paraId="6EA6CF0D" w14:textId="77777777" w:rsidTr="00433410">
        <w:tc>
          <w:tcPr>
            <w:tcW w:w="1885" w:type="dxa"/>
          </w:tcPr>
          <w:p w14:paraId="7A851A84" w14:textId="7DD74DA2" w:rsidR="00904BCA" w:rsidRDefault="00904BCA" w:rsidP="00DB5C29">
            <w:pPr>
              <w:rPr>
                <w:rFonts w:ascii="Times New Roman" w:hAnsi="Times New Roman" w:cs="Times New Roman"/>
                <w:sz w:val="20"/>
                <w:szCs w:val="20"/>
              </w:rPr>
            </w:pPr>
            <w:r>
              <w:rPr>
                <w:rFonts w:ascii="Times New Roman" w:hAnsi="Times New Roman" w:cs="Times New Roman"/>
                <w:sz w:val="20"/>
                <w:szCs w:val="20"/>
              </w:rPr>
              <w:t>Current ratio</w:t>
            </w:r>
          </w:p>
        </w:tc>
        <w:tc>
          <w:tcPr>
            <w:tcW w:w="4950" w:type="dxa"/>
          </w:tcPr>
          <w:p w14:paraId="5F573150" w14:textId="5E42681E" w:rsidR="00904BCA" w:rsidRDefault="00904BCA" w:rsidP="00DB5C29">
            <w:pPr>
              <w:rPr>
                <w:rFonts w:ascii="Times New Roman" w:hAnsi="Times New Roman" w:cs="Times New Roman"/>
                <w:sz w:val="20"/>
                <w:szCs w:val="20"/>
              </w:rPr>
            </w:pPr>
            <w:r>
              <w:rPr>
                <w:rFonts w:ascii="Times New Roman" w:hAnsi="Times New Roman" w:cs="Times New Roman"/>
                <w:sz w:val="20"/>
                <w:szCs w:val="20"/>
              </w:rPr>
              <w:t>Ratio of current assets to current liabilities</w:t>
            </w:r>
          </w:p>
        </w:tc>
        <w:tc>
          <w:tcPr>
            <w:tcW w:w="3240" w:type="dxa"/>
          </w:tcPr>
          <w:p w14:paraId="2F0BB18A" w14:textId="413A7676" w:rsidR="00904BCA" w:rsidRDefault="00904BCA" w:rsidP="00DB5C29">
            <w:pPr>
              <w:rPr>
                <w:rFonts w:ascii="Times New Roman" w:hAnsi="Times New Roman" w:cs="Times New Roman"/>
                <w:sz w:val="20"/>
                <w:szCs w:val="20"/>
              </w:rPr>
            </w:pPr>
            <w:r>
              <w:rPr>
                <w:rFonts w:ascii="Times New Roman" w:hAnsi="Times New Roman" w:cs="Times New Roman"/>
                <w:sz w:val="20"/>
                <w:szCs w:val="20"/>
              </w:rPr>
              <w:t>Numeric (ratio)</w:t>
            </w:r>
          </w:p>
        </w:tc>
      </w:tr>
      <w:tr w:rsidR="00904BCA" w14:paraId="3E75A3AD" w14:textId="77777777" w:rsidTr="00433410">
        <w:tc>
          <w:tcPr>
            <w:tcW w:w="1885" w:type="dxa"/>
            <w:shd w:val="clear" w:color="auto" w:fill="D9D9D9" w:themeFill="background1" w:themeFillShade="D9"/>
          </w:tcPr>
          <w:p w14:paraId="451DBB41" w14:textId="28BC29F9" w:rsidR="00904BCA" w:rsidRDefault="00433410" w:rsidP="00DB5C29">
            <w:pPr>
              <w:rPr>
                <w:rFonts w:ascii="Times New Roman" w:hAnsi="Times New Roman" w:cs="Times New Roman"/>
                <w:sz w:val="20"/>
                <w:szCs w:val="20"/>
              </w:rPr>
            </w:pPr>
            <w:r>
              <w:rPr>
                <w:rFonts w:ascii="Times New Roman" w:hAnsi="Times New Roman" w:cs="Times New Roman"/>
                <w:sz w:val="20"/>
                <w:szCs w:val="20"/>
              </w:rPr>
              <w:t>Debt ratio</w:t>
            </w:r>
          </w:p>
        </w:tc>
        <w:tc>
          <w:tcPr>
            <w:tcW w:w="4950" w:type="dxa"/>
            <w:shd w:val="clear" w:color="auto" w:fill="D9D9D9" w:themeFill="background1" w:themeFillShade="D9"/>
          </w:tcPr>
          <w:p w14:paraId="20A58D7F" w14:textId="06384C7B" w:rsidR="00904BCA" w:rsidRDefault="00433410" w:rsidP="00DB5C29">
            <w:pPr>
              <w:rPr>
                <w:rFonts w:ascii="Times New Roman" w:hAnsi="Times New Roman" w:cs="Times New Roman"/>
                <w:sz w:val="20"/>
                <w:szCs w:val="20"/>
              </w:rPr>
            </w:pPr>
            <w:r>
              <w:rPr>
                <w:rFonts w:ascii="Times New Roman" w:hAnsi="Times New Roman" w:cs="Times New Roman"/>
                <w:sz w:val="20"/>
                <w:szCs w:val="20"/>
              </w:rPr>
              <w:t>Total debt to total assets</w:t>
            </w:r>
          </w:p>
        </w:tc>
        <w:tc>
          <w:tcPr>
            <w:tcW w:w="3240" w:type="dxa"/>
            <w:shd w:val="clear" w:color="auto" w:fill="D9D9D9" w:themeFill="background1" w:themeFillShade="D9"/>
          </w:tcPr>
          <w:p w14:paraId="0A3215A9" w14:textId="2714D714" w:rsidR="00904BCA" w:rsidRDefault="00433410" w:rsidP="00DB5C29">
            <w:pPr>
              <w:rPr>
                <w:rFonts w:ascii="Times New Roman" w:hAnsi="Times New Roman" w:cs="Times New Roman"/>
                <w:sz w:val="20"/>
                <w:szCs w:val="20"/>
              </w:rPr>
            </w:pPr>
            <w:r>
              <w:rPr>
                <w:rFonts w:ascii="Times New Roman" w:hAnsi="Times New Roman" w:cs="Times New Roman"/>
                <w:sz w:val="20"/>
                <w:szCs w:val="20"/>
              </w:rPr>
              <w:t>Numeric (ratio)</w:t>
            </w:r>
          </w:p>
        </w:tc>
      </w:tr>
      <w:tr w:rsidR="00433410" w14:paraId="2D820D36" w14:textId="77777777" w:rsidTr="00433410">
        <w:tc>
          <w:tcPr>
            <w:tcW w:w="1885" w:type="dxa"/>
          </w:tcPr>
          <w:p w14:paraId="470F5CA8" w14:textId="6A3EDFD8" w:rsidR="00433410" w:rsidRDefault="00433410" w:rsidP="00DB5C29">
            <w:pPr>
              <w:rPr>
                <w:rFonts w:ascii="Times New Roman" w:hAnsi="Times New Roman" w:cs="Times New Roman"/>
                <w:sz w:val="20"/>
                <w:szCs w:val="20"/>
              </w:rPr>
            </w:pPr>
            <w:r>
              <w:rPr>
                <w:rFonts w:ascii="Times New Roman" w:hAnsi="Times New Roman" w:cs="Times New Roman"/>
                <w:sz w:val="20"/>
                <w:szCs w:val="20"/>
              </w:rPr>
              <w:t>Debt-to-equity ratio</w:t>
            </w:r>
          </w:p>
        </w:tc>
        <w:tc>
          <w:tcPr>
            <w:tcW w:w="4950" w:type="dxa"/>
          </w:tcPr>
          <w:p w14:paraId="33626A7B" w14:textId="7700DBDF" w:rsidR="00433410" w:rsidRDefault="00433410" w:rsidP="00DB5C29">
            <w:pPr>
              <w:rPr>
                <w:rFonts w:ascii="Times New Roman" w:hAnsi="Times New Roman" w:cs="Times New Roman"/>
                <w:sz w:val="20"/>
                <w:szCs w:val="20"/>
              </w:rPr>
            </w:pPr>
            <w:r>
              <w:rPr>
                <w:rFonts w:ascii="Times New Roman" w:hAnsi="Times New Roman" w:cs="Times New Roman"/>
                <w:sz w:val="20"/>
                <w:szCs w:val="20"/>
              </w:rPr>
              <w:t>Leverage; total debt to shareholder equity</w:t>
            </w:r>
          </w:p>
        </w:tc>
        <w:tc>
          <w:tcPr>
            <w:tcW w:w="3240" w:type="dxa"/>
          </w:tcPr>
          <w:p w14:paraId="619BB52B" w14:textId="199B8497" w:rsidR="00433410" w:rsidRDefault="00433410" w:rsidP="00DB5C29">
            <w:pPr>
              <w:rPr>
                <w:rFonts w:ascii="Times New Roman" w:hAnsi="Times New Roman" w:cs="Times New Roman"/>
                <w:sz w:val="20"/>
                <w:szCs w:val="20"/>
              </w:rPr>
            </w:pPr>
            <w:r>
              <w:rPr>
                <w:rFonts w:ascii="Times New Roman" w:hAnsi="Times New Roman" w:cs="Times New Roman"/>
                <w:sz w:val="20"/>
                <w:szCs w:val="20"/>
              </w:rPr>
              <w:t>Numeric (ratio)</w:t>
            </w:r>
          </w:p>
        </w:tc>
      </w:tr>
      <w:tr w:rsidR="00433410" w14:paraId="37B6802A" w14:textId="77777777" w:rsidTr="00433410">
        <w:tc>
          <w:tcPr>
            <w:tcW w:w="1885" w:type="dxa"/>
            <w:shd w:val="clear" w:color="auto" w:fill="D9D9D9" w:themeFill="background1" w:themeFillShade="D9"/>
          </w:tcPr>
          <w:p w14:paraId="489AF147" w14:textId="16A79DDF" w:rsidR="00433410" w:rsidRDefault="00433410" w:rsidP="00DB5C29">
            <w:pPr>
              <w:rPr>
                <w:rFonts w:ascii="Times New Roman" w:hAnsi="Times New Roman" w:cs="Times New Roman"/>
                <w:sz w:val="20"/>
                <w:szCs w:val="20"/>
              </w:rPr>
            </w:pPr>
            <w:r>
              <w:rPr>
                <w:rFonts w:ascii="Times New Roman" w:hAnsi="Times New Roman" w:cs="Times New Roman"/>
                <w:sz w:val="20"/>
                <w:szCs w:val="20"/>
              </w:rPr>
              <w:t>Interest coverage</w:t>
            </w:r>
          </w:p>
        </w:tc>
        <w:tc>
          <w:tcPr>
            <w:tcW w:w="4950" w:type="dxa"/>
            <w:shd w:val="clear" w:color="auto" w:fill="D9D9D9" w:themeFill="background1" w:themeFillShade="D9"/>
          </w:tcPr>
          <w:p w14:paraId="7B271B1D" w14:textId="305B8F67" w:rsidR="00433410" w:rsidRDefault="00433410" w:rsidP="00DB5C29">
            <w:pPr>
              <w:rPr>
                <w:rFonts w:ascii="Times New Roman" w:hAnsi="Times New Roman" w:cs="Times New Roman"/>
                <w:sz w:val="20"/>
                <w:szCs w:val="20"/>
              </w:rPr>
            </w:pPr>
            <w:r>
              <w:rPr>
                <w:rFonts w:ascii="Times New Roman" w:hAnsi="Times New Roman" w:cs="Times New Roman"/>
                <w:sz w:val="20"/>
                <w:szCs w:val="20"/>
              </w:rPr>
              <w:t>Ratio of operating income to interest expense</w:t>
            </w:r>
          </w:p>
        </w:tc>
        <w:tc>
          <w:tcPr>
            <w:tcW w:w="3240" w:type="dxa"/>
            <w:shd w:val="clear" w:color="auto" w:fill="D9D9D9" w:themeFill="background1" w:themeFillShade="D9"/>
          </w:tcPr>
          <w:p w14:paraId="26481E13" w14:textId="75DB955E" w:rsidR="00433410" w:rsidRDefault="00433410" w:rsidP="00DB5C29">
            <w:pPr>
              <w:rPr>
                <w:rFonts w:ascii="Times New Roman" w:hAnsi="Times New Roman" w:cs="Times New Roman"/>
                <w:sz w:val="20"/>
                <w:szCs w:val="20"/>
              </w:rPr>
            </w:pPr>
            <w:r>
              <w:rPr>
                <w:rFonts w:ascii="Times New Roman" w:hAnsi="Times New Roman" w:cs="Times New Roman"/>
                <w:sz w:val="20"/>
                <w:szCs w:val="20"/>
              </w:rPr>
              <w:t>Numeric (ratio)</w:t>
            </w:r>
          </w:p>
        </w:tc>
      </w:tr>
      <w:tr w:rsidR="00433410" w14:paraId="37C7BAA4" w14:textId="77777777" w:rsidTr="00433410">
        <w:tc>
          <w:tcPr>
            <w:tcW w:w="1885" w:type="dxa"/>
          </w:tcPr>
          <w:p w14:paraId="4C471D73" w14:textId="2014AFE9" w:rsidR="00433410" w:rsidRDefault="00433410" w:rsidP="00DB5C29">
            <w:pPr>
              <w:rPr>
                <w:rFonts w:ascii="Times New Roman" w:hAnsi="Times New Roman" w:cs="Times New Roman"/>
                <w:sz w:val="20"/>
                <w:szCs w:val="20"/>
              </w:rPr>
            </w:pPr>
            <w:r>
              <w:rPr>
                <w:rFonts w:ascii="Times New Roman" w:hAnsi="Times New Roman" w:cs="Times New Roman"/>
                <w:sz w:val="20"/>
                <w:szCs w:val="20"/>
              </w:rPr>
              <w:t>Gross margin</w:t>
            </w:r>
          </w:p>
        </w:tc>
        <w:tc>
          <w:tcPr>
            <w:tcW w:w="4950" w:type="dxa"/>
          </w:tcPr>
          <w:p w14:paraId="5F41927A" w14:textId="561F869B" w:rsidR="00433410" w:rsidRDefault="00433410" w:rsidP="00DB5C29">
            <w:pPr>
              <w:rPr>
                <w:rFonts w:ascii="Times New Roman" w:hAnsi="Times New Roman" w:cs="Times New Roman"/>
                <w:sz w:val="20"/>
                <w:szCs w:val="20"/>
              </w:rPr>
            </w:pPr>
            <w:r>
              <w:rPr>
                <w:rFonts w:ascii="Times New Roman" w:hAnsi="Times New Roman" w:cs="Times New Roman"/>
                <w:sz w:val="20"/>
                <w:szCs w:val="20"/>
              </w:rPr>
              <w:t>Gross profit to net income</w:t>
            </w:r>
          </w:p>
        </w:tc>
        <w:tc>
          <w:tcPr>
            <w:tcW w:w="3240" w:type="dxa"/>
          </w:tcPr>
          <w:p w14:paraId="719D3A05" w14:textId="1454F774" w:rsidR="00433410" w:rsidRDefault="00433410" w:rsidP="00DB5C29">
            <w:pPr>
              <w:rPr>
                <w:rFonts w:ascii="Times New Roman" w:hAnsi="Times New Roman" w:cs="Times New Roman"/>
                <w:sz w:val="20"/>
                <w:szCs w:val="20"/>
              </w:rPr>
            </w:pPr>
            <w:r>
              <w:rPr>
                <w:rFonts w:ascii="Times New Roman" w:hAnsi="Times New Roman" w:cs="Times New Roman"/>
                <w:sz w:val="20"/>
                <w:szCs w:val="20"/>
              </w:rPr>
              <w:t>Numeric (ratio)</w:t>
            </w:r>
          </w:p>
        </w:tc>
      </w:tr>
      <w:tr w:rsidR="00433410" w14:paraId="538CCB62" w14:textId="77777777" w:rsidTr="00433410">
        <w:tc>
          <w:tcPr>
            <w:tcW w:w="1885" w:type="dxa"/>
            <w:shd w:val="clear" w:color="auto" w:fill="D9D9D9" w:themeFill="background1" w:themeFillShade="D9"/>
          </w:tcPr>
          <w:p w14:paraId="0FC7438E" w14:textId="1A01E566" w:rsidR="00433410" w:rsidRDefault="00433410" w:rsidP="00DB5C29">
            <w:pPr>
              <w:rPr>
                <w:rFonts w:ascii="Times New Roman" w:hAnsi="Times New Roman" w:cs="Times New Roman"/>
                <w:sz w:val="20"/>
                <w:szCs w:val="20"/>
              </w:rPr>
            </w:pPr>
            <w:r>
              <w:rPr>
                <w:rFonts w:ascii="Times New Roman" w:hAnsi="Times New Roman" w:cs="Times New Roman"/>
                <w:sz w:val="20"/>
                <w:szCs w:val="20"/>
              </w:rPr>
              <w:t>Return on assets</w:t>
            </w:r>
          </w:p>
        </w:tc>
        <w:tc>
          <w:tcPr>
            <w:tcW w:w="4950" w:type="dxa"/>
            <w:shd w:val="clear" w:color="auto" w:fill="D9D9D9" w:themeFill="background1" w:themeFillShade="D9"/>
          </w:tcPr>
          <w:p w14:paraId="6A77628B" w14:textId="0D365699" w:rsidR="00433410" w:rsidRDefault="00433410" w:rsidP="00DB5C29">
            <w:pPr>
              <w:rPr>
                <w:rFonts w:ascii="Times New Roman" w:hAnsi="Times New Roman" w:cs="Times New Roman"/>
                <w:sz w:val="20"/>
                <w:szCs w:val="20"/>
              </w:rPr>
            </w:pPr>
            <w:r>
              <w:rPr>
                <w:rFonts w:ascii="Times New Roman" w:hAnsi="Times New Roman" w:cs="Times New Roman"/>
                <w:sz w:val="20"/>
                <w:szCs w:val="20"/>
              </w:rPr>
              <w:t>Net income to total assets</w:t>
            </w:r>
          </w:p>
        </w:tc>
        <w:tc>
          <w:tcPr>
            <w:tcW w:w="3240" w:type="dxa"/>
            <w:shd w:val="clear" w:color="auto" w:fill="D9D9D9" w:themeFill="background1" w:themeFillShade="D9"/>
          </w:tcPr>
          <w:p w14:paraId="010C6509" w14:textId="6B8E3FF1" w:rsidR="00433410" w:rsidRDefault="00433410" w:rsidP="00DB5C29">
            <w:pPr>
              <w:rPr>
                <w:rFonts w:ascii="Times New Roman" w:hAnsi="Times New Roman" w:cs="Times New Roman"/>
                <w:sz w:val="20"/>
                <w:szCs w:val="20"/>
              </w:rPr>
            </w:pPr>
            <w:r>
              <w:rPr>
                <w:rFonts w:ascii="Times New Roman" w:hAnsi="Times New Roman" w:cs="Times New Roman"/>
                <w:sz w:val="20"/>
                <w:szCs w:val="20"/>
              </w:rPr>
              <w:t>Numeric (ratio)</w:t>
            </w:r>
          </w:p>
        </w:tc>
      </w:tr>
      <w:tr w:rsidR="00433410" w14:paraId="242C90A8" w14:textId="77777777" w:rsidTr="00433410">
        <w:tc>
          <w:tcPr>
            <w:tcW w:w="1885" w:type="dxa"/>
          </w:tcPr>
          <w:p w14:paraId="3591EABC" w14:textId="234B76F6" w:rsidR="00433410" w:rsidRDefault="00433410" w:rsidP="00DB5C29">
            <w:pPr>
              <w:rPr>
                <w:rFonts w:ascii="Times New Roman" w:hAnsi="Times New Roman" w:cs="Times New Roman"/>
                <w:sz w:val="20"/>
                <w:szCs w:val="20"/>
              </w:rPr>
            </w:pPr>
            <w:r>
              <w:rPr>
                <w:rFonts w:ascii="Times New Roman" w:hAnsi="Times New Roman" w:cs="Times New Roman"/>
                <w:sz w:val="20"/>
                <w:szCs w:val="20"/>
              </w:rPr>
              <w:t>Return on equity</w:t>
            </w:r>
          </w:p>
        </w:tc>
        <w:tc>
          <w:tcPr>
            <w:tcW w:w="4950" w:type="dxa"/>
          </w:tcPr>
          <w:p w14:paraId="39E70B5C" w14:textId="3A2EB7F7" w:rsidR="00433410" w:rsidRDefault="00433410" w:rsidP="00DB5C29">
            <w:pPr>
              <w:rPr>
                <w:rFonts w:ascii="Times New Roman" w:hAnsi="Times New Roman" w:cs="Times New Roman"/>
                <w:sz w:val="20"/>
                <w:szCs w:val="20"/>
              </w:rPr>
            </w:pPr>
            <w:r>
              <w:rPr>
                <w:rFonts w:ascii="Times New Roman" w:hAnsi="Times New Roman" w:cs="Times New Roman"/>
                <w:sz w:val="20"/>
                <w:szCs w:val="20"/>
              </w:rPr>
              <w:t>Net income to shareholder equity</w:t>
            </w:r>
          </w:p>
        </w:tc>
        <w:tc>
          <w:tcPr>
            <w:tcW w:w="3240" w:type="dxa"/>
          </w:tcPr>
          <w:p w14:paraId="6FAB92D3" w14:textId="2939ABFA" w:rsidR="00433410" w:rsidRDefault="00433410" w:rsidP="00DB5C29">
            <w:pPr>
              <w:rPr>
                <w:rFonts w:ascii="Times New Roman" w:hAnsi="Times New Roman" w:cs="Times New Roman"/>
                <w:sz w:val="20"/>
                <w:szCs w:val="20"/>
              </w:rPr>
            </w:pPr>
            <w:r>
              <w:rPr>
                <w:rFonts w:ascii="Times New Roman" w:hAnsi="Times New Roman" w:cs="Times New Roman"/>
                <w:sz w:val="20"/>
                <w:szCs w:val="20"/>
              </w:rPr>
              <w:t>Numeric (ratio)</w:t>
            </w:r>
          </w:p>
        </w:tc>
      </w:tr>
      <w:tr w:rsidR="00433410" w14:paraId="2CB6F665" w14:textId="77777777" w:rsidTr="00433410">
        <w:tc>
          <w:tcPr>
            <w:tcW w:w="1885" w:type="dxa"/>
            <w:shd w:val="clear" w:color="auto" w:fill="D9D9D9" w:themeFill="background1" w:themeFillShade="D9"/>
          </w:tcPr>
          <w:p w14:paraId="395B6CC7" w14:textId="1D720F70" w:rsidR="00433410" w:rsidRDefault="00433410" w:rsidP="00DB5C29">
            <w:pPr>
              <w:rPr>
                <w:rFonts w:ascii="Times New Roman" w:hAnsi="Times New Roman" w:cs="Times New Roman"/>
                <w:sz w:val="20"/>
                <w:szCs w:val="20"/>
              </w:rPr>
            </w:pPr>
            <w:r>
              <w:rPr>
                <w:rFonts w:ascii="Times New Roman" w:hAnsi="Times New Roman" w:cs="Times New Roman"/>
                <w:sz w:val="20"/>
                <w:szCs w:val="20"/>
              </w:rPr>
              <w:t>Change in federal funds rate</w:t>
            </w:r>
          </w:p>
        </w:tc>
        <w:tc>
          <w:tcPr>
            <w:tcW w:w="4950" w:type="dxa"/>
            <w:shd w:val="clear" w:color="auto" w:fill="D9D9D9" w:themeFill="background1" w:themeFillShade="D9"/>
          </w:tcPr>
          <w:p w14:paraId="0368E0B8" w14:textId="64DB1BA4" w:rsidR="00433410" w:rsidRDefault="00433410" w:rsidP="00DB5C29">
            <w:pPr>
              <w:rPr>
                <w:rFonts w:ascii="Times New Roman" w:hAnsi="Times New Roman" w:cs="Times New Roman"/>
                <w:sz w:val="20"/>
                <w:szCs w:val="20"/>
              </w:rPr>
            </w:pPr>
            <w:r>
              <w:rPr>
                <w:rFonts w:ascii="Times New Roman" w:hAnsi="Times New Roman" w:cs="Times New Roman"/>
                <w:sz w:val="20"/>
                <w:szCs w:val="20"/>
              </w:rPr>
              <w:t>Change in the federal fund’s rate since the previous quarter</w:t>
            </w:r>
          </w:p>
        </w:tc>
        <w:tc>
          <w:tcPr>
            <w:tcW w:w="3240" w:type="dxa"/>
            <w:shd w:val="clear" w:color="auto" w:fill="D9D9D9" w:themeFill="background1" w:themeFillShade="D9"/>
          </w:tcPr>
          <w:p w14:paraId="69819ED3" w14:textId="521D9F30" w:rsidR="00433410" w:rsidRDefault="00433410" w:rsidP="00DB5C29">
            <w:pPr>
              <w:rPr>
                <w:rFonts w:ascii="Times New Roman" w:hAnsi="Times New Roman" w:cs="Times New Roman"/>
                <w:sz w:val="20"/>
                <w:szCs w:val="20"/>
              </w:rPr>
            </w:pPr>
            <w:r>
              <w:rPr>
                <w:rFonts w:ascii="Times New Roman" w:hAnsi="Times New Roman" w:cs="Times New Roman"/>
                <w:sz w:val="20"/>
                <w:szCs w:val="20"/>
              </w:rPr>
              <w:t>Numeric (percentage points)</w:t>
            </w:r>
          </w:p>
        </w:tc>
      </w:tr>
      <w:tr w:rsidR="00433410" w14:paraId="3E349814" w14:textId="77777777" w:rsidTr="00433410">
        <w:tc>
          <w:tcPr>
            <w:tcW w:w="10075" w:type="dxa"/>
            <w:gridSpan w:val="3"/>
          </w:tcPr>
          <w:p w14:paraId="3DCB6027" w14:textId="790D90B2" w:rsidR="00433410" w:rsidRDefault="00433410" w:rsidP="00DB5C29">
            <w:pPr>
              <w:rPr>
                <w:rFonts w:ascii="Times New Roman" w:hAnsi="Times New Roman" w:cs="Times New Roman"/>
                <w:sz w:val="20"/>
                <w:szCs w:val="20"/>
              </w:rPr>
            </w:pPr>
            <w:r>
              <w:rPr>
                <w:rFonts w:ascii="Times New Roman" w:hAnsi="Times New Roman" w:cs="Times New Roman"/>
                <w:sz w:val="20"/>
                <w:szCs w:val="20"/>
              </w:rPr>
              <w:t>Note: the outcome variables also have associated lag variables for features to model changes from the previous quarter.</w:t>
            </w:r>
          </w:p>
        </w:tc>
      </w:tr>
    </w:tbl>
    <w:p w14:paraId="01B555BF" w14:textId="540841D3" w:rsidR="00D70AF1" w:rsidRDefault="00D70AF1" w:rsidP="00DB5C29">
      <w:pPr>
        <w:rPr>
          <w:rFonts w:ascii="Times New Roman" w:hAnsi="Times New Roman" w:cs="Times New Roman"/>
          <w:b/>
          <w:bCs/>
        </w:rPr>
      </w:pPr>
    </w:p>
    <w:p w14:paraId="5BD2254D" w14:textId="15EDDA7A" w:rsidR="005B33E4" w:rsidRDefault="00433410" w:rsidP="00DB5C29">
      <w:pPr>
        <w:rPr>
          <w:rFonts w:ascii="Times New Roman" w:hAnsi="Times New Roman" w:cs="Times New Roman"/>
          <w:b/>
          <w:bCs/>
        </w:rPr>
      </w:pPr>
      <w:r>
        <w:rPr>
          <w:rFonts w:ascii="Times New Roman" w:hAnsi="Times New Roman" w:cs="Times New Roman"/>
          <w:b/>
          <w:bCs/>
        </w:rPr>
        <w:t>Table 1. Data dictionary</w:t>
      </w:r>
    </w:p>
    <w:p w14:paraId="595DE224" w14:textId="01B95985" w:rsidR="005B33E4" w:rsidRDefault="005B33E4" w:rsidP="00DB5C29">
      <w:pPr>
        <w:rPr>
          <w:rFonts w:ascii="Times New Roman" w:hAnsi="Times New Roman" w:cs="Times New Roman"/>
          <w:b/>
          <w:bCs/>
        </w:rPr>
      </w:pPr>
    </w:p>
    <w:p w14:paraId="145728D1" w14:textId="6EC5A6CD" w:rsidR="005B33E4" w:rsidRDefault="005B33E4" w:rsidP="00DB5C29">
      <w:pPr>
        <w:rPr>
          <w:rFonts w:ascii="Times New Roman" w:hAnsi="Times New Roman" w:cs="Times New Roman"/>
          <w:b/>
          <w:bCs/>
        </w:rPr>
      </w:pPr>
    </w:p>
    <w:p w14:paraId="2F9CEE40" w14:textId="326CD6C1" w:rsidR="005B33E4" w:rsidRDefault="005B33E4" w:rsidP="00DB5C29">
      <w:pPr>
        <w:rPr>
          <w:rFonts w:ascii="Times New Roman" w:hAnsi="Times New Roman" w:cs="Times New Roman"/>
          <w:b/>
          <w:bCs/>
        </w:rPr>
      </w:pPr>
    </w:p>
    <w:p w14:paraId="14778B39" w14:textId="4924CCC5" w:rsidR="005B33E4" w:rsidRDefault="005B33E4" w:rsidP="00DB5C29">
      <w:pPr>
        <w:rPr>
          <w:rFonts w:ascii="Times New Roman" w:hAnsi="Times New Roman" w:cs="Times New Roman"/>
          <w:b/>
          <w:bCs/>
        </w:rPr>
      </w:pPr>
    </w:p>
    <w:p w14:paraId="23D06AD9" w14:textId="1E0621F5" w:rsidR="005B33E4" w:rsidRDefault="005B33E4" w:rsidP="00DB5C29">
      <w:pPr>
        <w:rPr>
          <w:rFonts w:ascii="Times New Roman" w:hAnsi="Times New Roman" w:cs="Times New Roman"/>
          <w:b/>
          <w:bCs/>
        </w:rPr>
      </w:pPr>
    </w:p>
    <w:p w14:paraId="6C5173EA" w14:textId="77777777" w:rsidR="001C3678" w:rsidRDefault="001C3678" w:rsidP="00DB5C29">
      <w:pPr>
        <w:rPr>
          <w:rFonts w:ascii="Times New Roman" w:hAnsi="Times New Roman" w:cs="Times New Roman"/>
          <w:b/>
          <w:bCs/>
        </w:rPr>
      </w:pPr>
    </w:p>
    <w:p w14:paraId="258EBAEC" w14:textId="12D823E5" w:rsidR="004853D6" w:rsidRDefault="004853D6" w:rsidP="004853D6">
      <w:pPr>
        <w:pStyle w:val="ListParagraph"/>
        <w:numPr>
          <w:ilvl w:val="1"/>
          <w:numId w:val="1"/>
        </w:numPr>
        <w:rPr>
          <w:rFonts w:ascii="Times New Roman" w:hAnsi="Times New Roman" w:cs="Times New Roman"/>
        </w:rPr>
      </w:pPr>
      <w:r>
        <w:rPr>
          <w:rFonts w:ascii="Times New Roman" w:hAnsi="Times New Roman" w:cs="Times New Roman"/>
        </w:rPr>
        <w:t xml:space="preserve"> </w:t>
      </w:r>
      <w:r w:rsidRPr="004853D6">
        <w:rPr>
          <w:rFonts w:ascii="Times New Roman" w:hAnsi="Times New Roman" w:cs="Times New Roman"/>
        </w:rPr>
        <w:t xml:space="preserve"> </w:t>
      </w:r>
      <w:r w:rsidR="001C3678">
        <w:rPr>
          <w:rFonts w:ascii="Times New Roman" w:hAnsi="Times New Roman" w:cs="Times New Roman"/>
        </w:rPr>
        <w:t>Exploratory Data Analysis</w:t>
      </w:r>
    </w:p>
    <w:p w14:paraId="08E5B0E2" w14:textId="27C5297F" w:rsidR="001C3678" w:rsidRPr="004853D6" w:rsidRDefault="001C3678" w:rsidP="004853D6">
      <w:pPr>
        <w:pStyle w:val="ListParagraph"/>
        <w:numPr>
          <w:ilvl w:val="1"/>
          <w:numId w:val="1"/>
        </w:numPr>
        <w:rPr>
          <w:rFonts w:ascii="Times New Roman" w:hAnsi="Times New Roman" w:cs="Times New Roman"/>
        </w:rPr>
      </w:pPr>
      <w:r>
        <w:rPr>
          <w:rFonts w:ascii="Times New Roman" w:hAnsi="Times New Roman" w:cs="Times New Roman"/>
        </w:rPr>
        <w:t xml:space="preserve"> Model Selection</w:t>
      </w:r>
    </w:p>
    <w:p w14:paraId="3D32BA53" w14:textId="5E22C43D" w:rsidR="00D70AF1" w:rsidRDefault="00D70AF1" w:rsidP="00DB5C29">
      <w:pPr>
        <w:rPr>
          <w:rFonts w:ascii="Times New Roman" w:hAnsi="Times New Roman" w:cs="Times New Roman"/>
          <w:b/>
          <w:bCs/>
        </w:rPr>
      </w:pPr>
    </w:p>
    <w:p w14:paraId="76CF39F0" w14:textId="31910C98" w:rsidR="00D70AF1" w:rsidRDefault="00D70AF1" w:rsidP="00D70AF1">
      <w:pPr>
        <w:pStyle w:val="ListParagraph"/>
        <w:numPr>
          <w:ilvl w:val="0"/>
          <w:numId w:val="1"/>
        </w:numPr>
        <w:rPr>
          <w:rFonts w:ascii="Times New Roman" w:hAnsi="Times New Roman" w:cs="Times New Roman"/>
          <w:b/>
          <w:bCs/>
        </w:rPr>
      </w:pPr>
      <w:r>
        <w:rPr>
          <w:rFonts w:ascii="Times New Roman" w:hAnsi="Times New Roman" w:cs="Times New Roman"/>
          <w:b/>
          <w:bCs/>
        </w:rPr>
        <w:t>Results and Findings</w:t>
      </w:r>
    </w:p>
    <w:p w14:paraId="249CFE8F" w14:textId="39B51851" w:rsidR="00D70AF1" w:rsidRDefault="00D70AF1" w:rsidP="00D70AF1">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Conclusions</w:t>
      </w:r>
    </w:p>
    <w:p w14:paraId="7372BDE1" w14:textId="0CD96183" w:rsidR="00D70AF1" w:rsidRPr="00D70AF1" w:rsidRDefault="00D70AF1" w:rsidP="00D70AF1">
      <w:pPr>
        <w:pStyle w:val="ListParagraph"/>
        <w:numPr>
          <w:ilvl w:val="0"/>
          <w:numId w:val="1"/>
        </w:numPr>
        <w:rPr>
          <w:rFonts w:ascii="Times New Roman" w:hAnsi="Times New Roman" w:cs="Times New Roman"/>
          <w:b/>
          <w:bCs/>
        </w:rPr>
      </w:pPr>
      <w:r>
        <w:rPr>
          <w:rFonts w:ascii="Times New Roman" w:hAnsi="Times New Roman" w:cs="Times New Roman"/>
          <w:b/>
          <w:bCs/>
        </w:rPr>
        <w:t>References</w:t>
      </w:r>
    </w:p>
    <w:sectPr w:rsidR="00D70AF1" w:rsidRPr="00D70A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2443B" w14:textId="77777777" w:rsidR="00925C4C" w:rsidRDefault="00925C4C" w:rsidP="00C41565">
      <w:r>
        <w:separator/>
      </w:r>
    </w:p>
  </w:endnote>
  <w:endnote w:type="continuationSeparator" w:id="0">
    <w:p w14:paraId="2DBB9032" w14:textId="77777777" w:rsidR="00925C4C" w:rsidRDefault="00925C4C" w:rsidP="00C4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005E0" w14:textId="77777777" w:rsidR="00925C4C" w:rsidRDefault="00925C4C" w:rsidP="00C41565">
      <w:r>
        <w:separator/>
      </w:r>
    </w:p>
  </w:footnote>
  <w:footnote w:type="continuationSeparator" w:id="0">
    <w:p w14:paraId="2B1D2C69" w14:textId="77777777" w:rsidR="00925C4C" w:rsidRDefault="00925C4C" w:rsidP="00C41565">
      <w:r>
        <w:continuationSeparator/>
      </w:r>
    </w:p>
  </w:footnote>
  <w:footnote w:id="1">
    <w:p w14:paraId="34B6E5E8" w14:textId="77777777" w:rsidR="00C41565" w:rsidRPr="00C41565" w:rsidRDefault="00C41565" w:rsidP="00C41565">
      <w:pPr>
        <w:pStyle w:val="FootnoteText"/>
        <w:rPr>
          <w:rFonts w:ascii="Times New Roman" w:hAnsi="Times New Roman" w:cs="Times New Roman"/>
        </w:rPr>
      </w:pPr>
      <w:r w:rsidRPr="00C41565">
        <w:rPr>
          <w:rStyle w:val="FootnoteReference"/>
          <w:rFonts w:ascii="Times New Roman" w:hAnsi="Times New Roman" w:cs="Times New Roman"/>
        </w:rPr>
        <w:footnoteRef/>
      </w:r>
      <w:r w:rsidRPr="00C41565">
        <w:rPr>
          <w:rFonts w:ascii="Times New Roman" w:hAnsi="Times New Roman" w:cs="Times New Roman"/>
        </w:rPr>
        <w:t xml:space="preserve"> See </w:t>
      </w:r>
      <w:hyperlink r:id="rId1" w:history="1">
        <w:r w:rsidRPr="00C41565">
          <w:rPr>
            <w:rStyle w:val="Hyperlink"/>
            <w:rFonts w:ascii="Times New Roman" w:hAnsi="Times New Roman" w:cs="Times New Roman"/>
          </w:rPr>
          <w:t>API documentation</w:t>
        </w:r>
      </w:hyperlink>
      <w:r w:rsidRPr="00C41565">
        <w:rPr>
          <w:rFonts w:ascii="Times New Roman" w:hAnsi="Times New Roman" w:cs="Times New Roman"/>
        </w:rPr>
        <w:t xml:space="preserve"> and references</w:t>
      </w:r>
      <w:r>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95CA1"/>
    <w:multiLevelType w:val="multilevel"/>
    <w:tmpl w:val="D5AA9C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881235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29"/>
    <w:rsid w:val="00194C5F"/>
    <w:rsid w:val="001C3678"/>
    <w:rsid w:val="0028404D"/>
    <w:rsid w:val="003A43BB"/>
    <w:rsid w:val="00432F49"/>
    <w:rsid w:val="00433410"/>
    <w:rsid w:val="00435E4E"/>
    <w:rsid w:val="004853D6"/>
    <w:rsid w:val="005B33E4"/>
    <w:rsid w:val="00893403"/>
    <w:rsid w:val="008E3B0B"/>
    <w:rsid w:val="00904BCA"/>
    <w:rsid w:val="00925C4C"/>
    <w:rsid w:val="00A67DD6"/>
    <w:rsid w:val="00C41565"/>
    <w:rsid w:val="00D70AF1"/>
    <w:rsid w:val="00DB5C29"/>
    <w:rsid w:val="00E907F1"/>
    <w:rsid w:val="00EC54AC"/>
    <w:rsid w:val="00EF5AE5"/>
    <w:rsid w:val="00F4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772D"/>
  <w15:chartTrackingRefBased/>
  <w15:docId w15:val="{A63C41C1-C485-414C-98A9-562C138A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AF1"/>
    <w:pPr>
      <w:ind w:left="720"/>
      <w:contextualSpacing/>
    </w:pPr>
  </w:style>
  <w:style w:type="paragraph" w:styleId="FootnoteText">
    <w:name w:val="footnote text"/>
    <w:basedOn w:val="Normal"/>
    <w:link w:val="FootnoteTextChar"/>
    <w:uiPriority w:val="99"/>
    <w:semiHidden/>
    <w:unhideWhenUsed/>
    <w:rsid w:val="00C41565"/>
    <w:rPr>
      <w:sz w:val="20"/>
      <w:szCs w:val="20"/>
    </w:rPr>
  </w:style>
  <w:style w:type="character" w:customStyle="1" w:styleId="FootnoteTextChar">
    <w:name w:val="Footnote Text Char"/>
    <w:basedOn w:val="DefaultParagraphFont"/>
    <w:link w:val="FootnoteText"/>
    <w:uiPriority w:val="99"/>
    <w:semiHidden/>
    <w:rsid w:val="00C41565"/>
    <w:rPr>
      <w:sz w:val="20"/>
      <w:szCs w:val="20"/>
    </w:rPr>
  </w:style>
  <w:style w:type="character" w:styleId="FootnoteReference">
    <w:name w:val="footnote reference"/>
    <w:basedOn w:val="DefaultParagraphFont"/>
    <w:uiPriority w:val="99"/>
    <w:semiHidden/>
    <w:unhideWhenUsed/>
    <w:rsid w:val="00C41565"/>
    <w:rPr>
      <w:vertAlign w:val="superscript"/>
    </w:rPr>
  </w:style>
  <w:style w:type="character" w:styleId="Hyperlink">
    <w:name w:val="Hyperlink"/>
    <w:basedOn w:val="DefaultParagraphFont"/>
    <w:uiPriority w:val="99"/>
    <w:unhideWhenUsed/>
    <w:rsid w:val="00C41565"/>
    <w:rPr>
      <w:color w:val="0563C1" w:themeColor="hyperlink"/>
      <w:u w:val="single"/>
    </w:rPr>
  </w:style>
  <w:style w:type="character" w:styleId="UnresolvedMention">
    <w:name w:val="Unresolved Mention"/>
    <w:basedOn w:val="DefaultParagraphFont"/>
    <w:uiPriority w:val="99"/>
    <w:semiHidden/>
    <w:unhideWhenUsed/>
    <w:rsid w:val="00C41565"/>
    <w:rPr>
      <w:color w:val="605E5C"/>
      <w:shd w:val="clear" w:color="auto" w:fill="E1DFDD"/>
    </w:rPr>
  </w:style>
  <w:style w:type="table" w:styleId="TableGrid">
    <w:name w:val="Table Grid"/>
    <w:basedOn w:val="TableNormal"/>
    <w:uiPriority w:val="39"/>
    <w:rsid w:val="005B3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1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alphavantage.co/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7F698-BA0B-C542-8174-8CD20956B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Holden</dc:creator>
  <cp:keywords/>
  <dc:description/>
  <cp:lastModifiedBy>Ben Holden</cp:lastModifiedBy>
  <cp:revision>1</cp:revision>
  <dcterms:created xsi:type="dcterms:W3CDTF">2022-12-11T18:01:00Z</dcterms:created>
  <dcterms:modified xsi:type="dcterms:W3CDTF">2022-12-12T01:08:00Z</dcterms:modified>
</cp:coreProperties>
</file>