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843"/>
        <w:gridCol w:w="2409"/>
        <w:gridCol w:w="2835"/>
        <w:gridCol w:w="2552"/>
      </w:tblGrid>
      <w:tr w:rsidR="00E14789" w:rsidRPr="00E14789" w14:paraId="6DE587F7" w14:textId="77777777" w:rsidTr="00E14789">
        <w:tc>
          <w:tcPr>
            <w:tcW w:w="993" w:type="dxa"/>
            <w:vAlign w:val="center"/>
            <w:hideMark/>
          </w:tcPr>
          <w:p w14:paraId="19519317" w14:textId="1A636012" w:rsidR="00E14789" w:rsidRPr="00E14789" w:rsidRDefault="00E14789" w:rsidP="004B5603">
            <w:pPr>
              <w:spacing w:after="160"/>
              <w:jc w:val="center"/>
              <w:rPr>
                <w:i/>
                <w:iCs/>
                <w:sz w:val="20"/>
                <w:szCs w:val="20"/>
              </w:rPr>
            </w:pPr>
            <w:r w:rsidRPr="00E14789">
              <w:rPr>
                <w:i/>
                <w:iCs/>
                <w:sz w:val="20"/>
                <w:szCs w:val="20"/>
              </w:rPr>
              <w:t xml:space="preserve">Skin dose (Gy) </w:t>
            </w:r>
          </w:p>
        </w:tc>
        <w:tc>
          <w:tcPr>
            <w:tcW w:w="1843" w:type="dxa"/>
            <w:vAlign w:val="center"/>
            <w:hideMark/>
          </w:tcPr>
          <w:p w14:paraId="1CC27D10" w14:textId="44A826A4" w:rsidR="00E14789" w:rsidRPr="00E14789" w:rsidRDefault="00E14789" w:rsidP="004B5603">
            <w:pPr>
              <w:spacing w:after="160"/>
              <w:jc w:val="center"/>
              <w:rPr>
                <w:i/>
                <w:iCs/>
                <w:sz w:val="20"/>
                <w:szCs w:val="20"/>
              </w:rPr>
            </w:pPr>
            <w:r w:rsidRPr="00E14789">
              <w:rPr>
                <w:i/>
                <w:iCs/>
                <w:sz w:val="20"/>
                <w:szCs w:val="20"/>
              </w:rPr>
              <w:t>&lt;2 weeks</w:t>
            </w:r>
          </w:p>
        </w:tc>
        <w:tc>
          <w:tcPr>
            <w:tcW w:w="2409" w:type="dxa"/>
            <w:vAlign w:val="center"/>
            <w:hideMark/>
          </w:tcPr>
          <w:p w14:paraId="6C448E80" w14:textId="20E5B6E0" w:rsidR="00E14789" w:rsidRPr="00E14789" w:rsidRDefault="00E14789" w:rsidP="004B5603">
            <w:pPr>
              <w:spacing w:after="160"/>
              <w:jc w:val="center"/>
              <w:rPr>
                <w:i/>
                <w:iCs/>
                <w:sz w:val="20"/>
                <w:szCs w:val="20"/>
              </w:rPr>
            </w:pPr>
            <w:r w:rsidRPr="00E14789">
              <w:rPr>
                <w:i/>
                <w:iCs/>
                <w:sz w:val="20"/>
                <w:szCs w:val="20"/>
              </w:rPr>
              <w:t>2-8 weeks</w:t>
            </w:r>
          </w:p>
        </w:tc>
        <w:tc>
          <w:tcPr>
            <w:tcW w:w="2835" w:type="dxa"/>
            <w:vAlign w:val="center"/>
            <w:hideMark/>
          </w:tcPr>
          <w:p w14:paraId="1D1BAD7A" w14:textId="34C403A4" w:rsidR="00E14789" w:rsidRPr="00E14789" w:rsidRDefault="00E14789" w:rsidP="004B5603">
            <w:pPr>
              <w:spacing w:after="160"/>
              <w:jc w:val="center"/>
              <w:rPr>
                <w:i/>
                <w:iCs/>
                <w:sz w:val="20"/>
                <w:szCs w:val="20"/>
              </w:rPr>
            </w:pPr>
            <w:r w:rsidRPr="00E14789">
              <w:rPr>
                <w:i/>
                <w:iCs/>
                <w:sz w:val="20"/>
                <w:szCs w:val="20"/>
              </w:rPr>
              <w:t>6-52 weeks</w:t>
            </w:r>
          </w:p>
        </w:tc>
        <w:tc>
          <w:tcPr>
            <w:tcW w:w="2552" w:type="dxa"/>
            <w:vAlign w:val="center"/>
            <w:hideMark/>
          </w:tcPr>
          <w:p w14:paraId="49DAE73A" w14:textId="11FA8848" w:rsidR="00E14789" w:rsidRPr="00E14789" w:rsidRDefault="00E14789" w:rsidP="004B5603">
            <w:pPr>
              <w:spacing w:after="160"/>
              <w:jc w:val="center"/>
              <w:rPr>
                <w:i/>
                <w:iCs/>
                <w:sz w:val="20"/>
                <w:szCs w:val="20"/>
              </w:rPr>
            </w:pPr>
            <w:r w:rsidRPr="00E14789">
              <w:rPr>
                <w:i/>
                <w:iCs/>
                <w:sz w:val="20"/>
                <w:szCs w:val="20"/>
              </w:rPr>
              <w:t>&gt;40 weeks</w:t>
            </w:r>
          </w:p>
        </w:tc>
      </w:tr>
      <w:tr w:rsidR="00E14789" w:rsidRPr="00E14789" w14:paraId="49ACE998" w14:textId="77777777" w:rsidTr="00E14789">
        <w:tc>
          <w:tcPr>
            <w:tcW w:w="993" w:type="dxa"/>
            <w:vAlign w:val="center"/>
            <w:hideMark/>
          </w:tcPr>
          <w:p w14:paraId="5D2BD58A" w14:textId="4236A293" w:rsidR="00E14789" w:rsidRPr="00E14789" w:rsidRDefault="00E14789" w:rsidP="004B5603">
            <w:pPr>
              <w:spacing w:after="160"/>
              <w:jc w:val="center"/>
              <w:rPr>
                <w:i/>
                <w:iCs/>
                <w:sz w:val="20"/>
                <w:szCs w:val="20"/>
              </w:rPr>
            </w:pPr>
            <w:r w:rsidRPr="00E14789">
              <w:rPr>
                <w:i/>
                <w:iCs/>
                <w:sz w:val="20"/>
                <w:szCs w:val="20"/>
              </w:rPr>
              <w:t>0 to 2</w:t>
            </w:r>
          </w:p>
        </w:tc>
        <w:tc>
          <w:tcPr>
            <w:tcW w:w="9639" w:type="dxa"/>
            <w:gridSpan w:val="4"/>
            <w:vAlign w:val="center"/>
            <w:hideMark/>
          </w:tcPr>
          <w:p w14:paraId="531437C9" w14:textId="6A5CA53E" w:rsidR="00E14789" w:rsidRPr="00E14789" w:rsidRDefault="00E14789" w:rsidP="004B5603">
            <w:pPr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No observable effects expected</w:t>
            </w:r>
          </w:p>
        </w:tc>
      </w:tr>
      <w:tr w:rsidR="00E14789" w:rsidRPr="00E14789" w14:paraId="19F527A1" w14:textId="77777777" w:rsidTr="00E14789">
        <w:trPr>
          <w:trHeight w:val="701"/>
        </w:trPr>
        <w:tc>
          <w:tcPr>
            <w:tcW w:w="993" w:type="dxa"/>
            <w:vAlign w:val="center"/>
            <w:hideMark/>
          </w:tcPr>
          <w:p w14:paraId="181EC597" w14:textId="3C103DBC" w:rsidR="00E14789" w:rsidRPr="00E14789" w:rsidRDefault="00E14789" w:rsidP="004B5603">
            <w:pPr>
              <w:spacing w:after="160"/>
              <w:jc w:val="center"/>
              <w:rPr>
                <w:i/>
                <w:iCs/>
                <w:sz w:val="20"/>
                <w:szCs w:val="20"/>
              </w:rPr>
            </w:pPr>
            <w:r w:rsidRPr="00E14789">
              <w:rPr>
                <w:i/>
                <w:iCs/>
                <w:sz w:val="20"/>
                <w:szCs w:val="20"/>
              </w:rPr>
              <w:t>2 to 5</w:t>
            </w:r>
          </w:p>
        </w:tc>
        <w:tc>
          <w:tcPr>
            <w:tcW w:w="1843" w:type="dxa"/>
            <w:vAlign w:val="center"/>
            <w:hideMark/>
          </w:tcPr>
          <w:p w14:paraId="5A11A7C1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Transient erythema</w:t>
            </w:r>
          </w:p>
        </w:tc>
        <w:tc>
          <w:tcPr>
            <w:tcW w:w="2409" w:type="dxa"/>
            <w:vAlign w:val="center"/>
            <w:hideMark/>
          </w:tcPr>
          <w:p w14:paraId="725D79A4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Epilation</w:t>
            </w:r>
          </w:p>
        </w:tc>
        <w:tc>
          <w:tcPr>
            <w:tcW w:w="2835" w:type="dxa"/>
            <w:vAlign w:val="center"/>
            <w:hideMark/>
          </w:tcPr>
          <w:p w14:paraId="07108351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Recovery from hair loss</w:t>
            </w:r>
          </w:p>
        </w:tc>
        <w:tc>
          <w:tcPr>
            <w:tcW w:w="2552" w:type="dxa"/>
            <w:vAlign w:val="center"/>
            <w:hideMark/>
          </w:tcPr>
          <w:p w14:paraId="1F8A5BEC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No observable results expected</w:t>
            </w:r>
          </w:p>
        </w:tc>
      </w:tr>
      <w:tr w:rsidR="00E14789" w:rsidRPr="00E14789" w14:paraId="43B562BE" w14:textId="77777777" w:rsidTr="00E14789">
        <w:tc>
          <w:tcPr>
            <w:tcW w:w="993" w:type="dxa"/>
            <w:vAlign w:val="center"/>
            <w:hideMark/>
          </w:tcPr>
          <w:p w14:paraId="6B97A872" w14:textId="518B85DC" w:rsidR="00E14789" w:rsidRPr="00E14789" w:rsidRDefault="00E14789" w:rsidP="004B5603">
            <w:pPr>
              <w:spacing w:after="160"/>
              <w:jc w:val="center"/>
              <w:rPr>
                <w:i/>
                <w:iCs/>
                <w:sz w:val="20"/>
                <w:szCs w:val="20"/>
              </w:rPr>
            </w:pPr>
            <w:r w:rsidRPr="00E14789">
              <w:rPr>
                <w:i/>
                <w:iCs/>
                <w:sz w:val="20"/>
                <w:szCs w:val="20"/>
              </w:rPr>
              <w:t>5 to 10</w:t>
            </w:r>
          </w:p>
        </w:tc>
        <w:tc>
          <w:tcPr>
            <w:tcW w:w="1843" w:type="dxa"/>
            <w:vAlign w:val="center"/>
            <w:hideMark/>
          </w:tcPr>
          <w:p w14:paraId="335C9E64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Transient erythema</w:t>
            </w:r>
          </w:p>
        </w:tc>
        <w:tc>
          <w:tcPr>
            <w:tcW w:w="2409" w:type="dxa"/>
            <w:vAlign w:val="center"/>
            <w:hideMark/>
          </w:tcPr>
          <w:p w14:paraId="03352E9C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Erythema, epilation</w:t>
            </w:r>
          </w:p>
        </w:tc>
        <w:tc>
          <w:tcPr>
            <w:tcW w:w="2835" w:type="dxa"/>
            <w:vAlign w:val="center"/>
            <w:hideMark/>
          </w:tcPr>
          <w:p w14:paraId="2A49C6B4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Recovery; at higher doses, prolonged erythema; permanent partial epilation</w:t>
            </w:r>
          </w:p>
        </w:tc>
        <w:tc>
          <w:tcPr>
            <w:tcW w:w="2552" w:type="dxa"/>
            <w:vAlign w:val="center"/>
            <w:hideMark/>
          </w:tcPr>
          <w:p w14:paraId="6B58AB6D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Recovery; at higher doses, dermal atrophy or induration</w:t>
            </w:r>
          </w:p>
        </w:tc>
      </w:tr>
      <w:tr w:rsidR="00E14789" w:rsidRPr="00E14789" w14:paraId="20EC9FF6" w14:textId="77777777" w:rsidTr="00E14789">
        <w:tc>
          <w:tcPr>
            <w:tcW w:w="993" w:type="dxa"/>
            <w:vAlign w:val="center"/>
            <w:hideMark/>
          </w:tcPr>
          <w:p w14:paraId="4C37AAEC" w14:textId="38096EA1" w:rsidR="00E14789" w:rsidRPr="00E14789" w:rsidRDefault="00E14789" w:rsidP="004B5603">
            <w:pPr>
              <w:spacing w:after="160"/>
              <w:jc w:val="center"/>
              <w:rPr>
                <w:i/>
                <w:iCs/>
                <w:sz w:val="20"/>
                <w:szCs w:val="20"/>
              </w:rPr>
            </w:pPr>
            <w:r w:rsidRPr="00E14789">
              <w:rPr>
                <w:i/>
                <w:iCs/>
                <w:sz w:val="20"/>
                <w:szCs w:val="20"/>
              </w:rPr>
              <w:t>10 to 15</w:t>
            </w:r>
          </w:p>
        </w:tc>
        <w:tc>
          <w:tcPr>
            <w:tcW w:w="1843" w:type="dxa"/>
            <w:vAlign w:val="center"/>
            <w:hideMark/>
          </w:tcPr>
          <w:p w14:paraId="6AC50589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Transient erythema</w:t>
            </w:r>
          </w:p>
        </w:tc>
        <w:tc>
          <w:tcPr>
            <w:tcW w:w="2409" w:type="dxa"/>
            <w:vAlign w:val="center"/>
            <w:hideMark/>
          </w:tcPr>
          <w:p w14:paraId="23725514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Erythema, epilation; possible dry or moist desquamation; recovery from desquamation</w:t>
            </w:r>
          </w:p>
        </w:tc>
        <w:tc>
          <w:tcPr>
            <w:tcW w:w="2835" w:type="dxa"/>
            <w:vAlign w:val="center"/>
            <w:hideMark/>
          </w:tcPr>
          <w:p w14:paraId="7436A0ED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Prolonged erythema; permanent epilation</w:t>
            </w:r>
          </w:p>
        </w:tc>
        <w:tc>
          <w:tcPr>
            <w:tcW w:w="2552" w:type="dxa"/>
            <w:vAlign w:val="center"/>
            <w:hideMark/>
          </w:tcPr>
          <w:p w14:paraId="6EC89AEE" w14:textId="3D0698E3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Telangiectasia; or induration; skin likely to be weak</w:t>
            </w:r>
          </w:p>
        </w:tc>
      </w:tr>
      <w:tr w:rsidR="00E14789" w:rsidRPr="00E14789" w14:paraId="4F29E771" w14:textId="77777777" w:rsidTr="00E14789">
        <w:tc>
          <w:tcPr>
            <w:tcW w:w="993" w:type="dxa"/>
            <w:vAlign w:val="center"/>
            <w:hideMark/>
          </w:tcPr>
          <w:p w14:paraId="0838236A" w14:textId="48866ECB" w:rsidR="00E14789" w:rsidRPr="00E14789" w:rsidRDefault="00E14789" w:rsidP="004B5603">
            <w:pPr>
              <w:spacing w:after="160"/>
              <w:jc w:val="center"/>
              <w:rPr>
                <w:i/>
                <w:iCs/>
                <w:sz w:val="20"/>
                <w:szCs w:val="20"/>
              </w:rPr>
            </w:pPr>
            <w:r w:rsidRPr="00E14789">
              <w:rPr>
                <w:i/>
                <w:iCs/>
                <w:sz w:val="20"/>
                <w:szCs w:val="20"/>
              </w:rPr>
              <w:t>15+</w:t>
            </w:r>
          </w:p>
        </w:tc>
        <w:tc>
          <w:tcPr>
            <w:tcW w:w="1843" w:type="dxa"/>
            <w:vAlign w:val="center"/>
            <w:hideMark/>
          </w:tcPr>
          <w:p w14:paraId="35B9EFED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Transient erythema; after very high doses, edema and acute ulceration; long-term surgical intervention likely to be required</w:t>
            </w:r>
          </w:p>
        </w:tc>
        <w:tc>
          <w:tcPr>
            <w:tcW w:w="2409" w:type="dxa"/>
            <w:vAlign w:val="center"/>
            <w:hideMark/>
          </w:tcPr>
          <w:p w14:paraId="39362DA4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Erythema, epilation; moist desquamation</w:t>
            </w:r>
          </w:p>
        </w:tc>
        <w:tc>
          <w:tcPr>
            <w:tcW w:w="2835" w:type="dxa"/>
            <w:vAlign w:val="center"/>
            <w:hideMark/>
          </w:tcPr>
          <w:p w14:paraId="6E81BE8C" w14:textId="77777777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Dermal atrophy; secondary ulceration due to failure of moist desquamation to heal; surgical intervention likely to be required; at higher doses, dermal necrosis, surgical intervention likely to be required</w:t>
            </w:r>
          </w:p>
        </w:tc>
        <w:tc>
          <w:tcPr>
            <w:tcW w:w="2552" w:type="dxa"/>
            <w:vAlign w:val="center"/>
            <w:hideMark/>
          </w:tcPr>
          <w:p w14:paraId="0277F620" w14:textId="3CD7C753" w:rsidR="00E14789" w:rsidRPr="00E14789" w:rsidRDefault="00E14789" w:rsidP="004B5603">
            <w:pPr>
              <w:spacing w:after="160"/>
              <w:jc w:val="center"/>
              <w:rPr>
                <w:sz w:val="20"/>
                <w:szCs w:val="20"/>
              </w:rPr>
            </w:pPr>
            <w:r w:rsidRPr="00E14789">
              <w:rPr>
                <w:sz w:val="20"/>
                <w:szCs w:val="20"/>
              </w:rPr>
              <w:t>Telangiectasia; dermal atrophy or induration; possible late skin breakdown; wound might be persistent and progress into a deeper lesion; surgical intervention likely to be required</w:t>
            </w:r>
          </w:p>
        </w:tc>
      </w:tr>
    </w:tbl>
    <w:p w14:paraId="0E8B55C1" w14:textId="5AF905E9" w:rsidR="001E0E27" w:rsidRDefault="001E0E27"/>
    <w:sectPr w:rsidR="001E0E27" w:rsidSect="00E147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89"/>
    <w:rsid w:val="00045809"/>
    <w:rsid w:val="001E0E27"/>
    <w:rsid w:val="004B5603"/>
    <w:rsid w:val="008D1F35"/>
    <w:rsid w:val="00A77582"/>
    <w:rsid w:val="00E14789"/>
    <w:rsid w:val="00EA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4313"/>
  <w15:chartTrackingRefBased/>
  <w15:docId w15:val="{9200C35C-B924-4E96-B625-F9FA6196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7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78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14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Shields</dc:creator>
  <cp:keywords/>
  <dc:description/>
  <cp:lastModifiedBy>Benjamin Shields</cp:lastModifiedBy>
  <cp:revision>2</cp:revision>
  <dcterms:created xsi:type="dcterms:W3CDTF">2025-10-08T04:26:00Z</dcterms:created>
  <dcterms:modified xsi:type="dcterms:W3CDTF">2025-10-08T04:37:00Z</dcterms:modified>
</cp:coreProperties>
</file>