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08B6" w14:textId="13B90758" w:rsidR="00287748" w:rsidRDefault="00287748" w:rsidP="00754FB1">
      <w:pPr>
        <w:pStyle w:val="Title"/>
        <w:jc w:val="center"/>
        <w:rPr>
          <w:sz w:val="40"/>
          <w:szCs w:val="40"/>
        </w:rPr>
      </w:pPr>
      <w:r w:rsidRPr="00287748">
        <w:rPr>
          <w:sz w:val="40"/>
          <w:szCs w:val="40"/>
        </w:rPr>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73390E">
          <w:pgSz w:w="11906" w:h="16838"/>
          <w:pgMar w:top="1440" w:right="1440" w:bottom="1440" w:left="1440" w:header="708" w:footer="708" w:gutter="0"/>
          <w:cols w:space="708"/>
          <w:docGrid w:linePitch="360"/>
        </w:sectPr>
      </w:pPr>
    </w:p>
    <w:p w14:paraId="0EDAD2CD" w14:textId="0BD55888" w:rsidR="0083669E" w:rsidRDefault="00944B88" w:rsidP="00944B88">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 xml:space="preserve">his project explores the viability of using deep reinforcement learning to determine a solution for VM mapping problems </w:t>
      </w:r>
      <w:r w:rsidR="00B247DF">
        <w:rPr>
          <w:rFonts w:cs="Times New Roman"/>
        </w:rPr>
        <w:t>to minimize</w:t>
      </w:r>
      <w:r w:rsidR="0083669E">
        <w:rPr>
          <w:rFonts w:cs="Times New Roman"/>
        </w:rPr>
        <w:t xml:space="preserve"> waste, and therefore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p>
    <w:p w14:paraId="12B20CF6" w14:textId="77777777" w:rsidR="00AA0C04" w:rsidRPr="00944B88" w:rsidRDefault="00AA0C04" w:rsidP="00944B88">
      <w:pPr>
        <w:rPr>
          <w:rFonts w:cs="Times New Roman"/>
        </w:rPr>
      </w:pPr>
    </w:p>
    <w:p w14:paraId="6C3AE45F" w14:textId="501D9867" w:rsidR="00944B88" w:rsidRPr="00C01997" w:rsidRDefault="00C01997" w:rsidP="00C01997">
      <w:pPr>
        <w:pStyle w:val="Heading1"/>
      </w:pPr>
      <w:r>
        <w:t>INTRODUCTION</w:t>
      </w:r>
    </w:p>
    <w:p w14:paraId="5174E95C" w14:textId="08709DBB" w:rsidR="00C01997" w:rsidRDefault="00C01997" w:rsidP="00C01997">
      <w:pPr>
        <w:pStyle w:val="Heading2"/>
      </w:pPr>
      <w:r w:rsidRPr="00C01997">
        <w:t>Why should we solve this problem?</w:t>
      </w:r>
    </w:p>
    <w:p w14:paraId="635FC27C" w14:textId="2B2DDF61"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2B32EB">
            <w:rPr>
              <w:noProof/>
            </w:rPr>
            <w:t xml:space="preserve"> </w:t>
          </w:r>
          <w:r w:rsidR="002B32EB" w:rsidRPr="002B32EB">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4B3925CA" w14:textId="541507C6" w:rsidR="00C01997" w:rsidRDefault="00C01997" w:rsidP="00C01997">
      <w:pPr>
        <w:pStyle w:val="Heading2"/>
      </w:pPr>
      <w:r>
        <w:t>Why</w:t>
      </w:r>
      <w:r w:rsidR="00D27822">
        <w:t xml:space="preserve"> deep</w:t>
      </w:r>
      <w:r>
        <w:t xml:space="preserve"> reinforcement learning?</w:t>
      </w:r>
    </w:p>
    <w:p w14:paraId="45D82333" w14:textId="5EF866A9" w:rsidR="00D27822" w:rsidRDefault="00D27822" w:rsidP="00D27822">
      <w:r>
        <w:t xml:space="preserve">To answer this question, we should first examine </w:t>
      </w:r>
      <w:r w:rsidR="00FF7349">
        <w:t>all</w:t>
      </w:r>
      <w:r>
        <w:t xml:space="preserve"> </w:t>
      </w:r>
      <w:r w:rsidR="00FF7349">
        <w:t xml:space="preserve">of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lastRenderedPageBreak/>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r>
        <w:t>Scope</w:t>
      </w:r>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r>
        <w:t>METHODS</w:t>
      </w:r>
    </w:p>
    <w:p w14:paraId="58972299" w14:textId="522D4CF0" w:rsidR="004C6F9D" w:rsidRDefault="00CE4C87" w:rsidP="00CE4C87">
      <w:pPr>
        <w:pStyle w:val="Heading2"/>
      </w:pPr>
      <w:r>
        <w:t>Evaluating performance</w:t>
      </w:r>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w:t>
      </w:r>
      <w:r w:rsidR="00BB0342">
        <w:lastRenderedPageBreak/>
        <w:t>of its dimensions, then we can multiply this value by the number of units available in our environment to estimate the value we could expect from a perfect fit of a uniform range of instances.</w:t>
      </w:r>
    </w:p>
    <w:p w14:paraId="460EFC1A" w14:textId="3EDF70A5" w:rsidR="002933F6" w:rsidRDefault="00AF061B"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r>
        <w:t>Modelling the problem</w:t>
      </w:r>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a new item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0499FBB2" w:rsidR="0073390E" w:rsidRDefault="0073390E" w:rsidP="001F09F7">
      <w:r>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w:t>
      </w:r>
      <w:r w:rsidR="004C45A7">
        <w:lastRenderedPageBreak/>
        <w:t xml:space="preserve">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2B32EB" w:rsidRPr="002B32EB">
            <w:rPr>
              <w:noProof/>
            </w:rPr>
            <w:t>(David Naori, 2020)</w:t>
          </w:r>
          <w:r w:rsidR="00017301">
            <w:fldChar w:fldCharType="end"/>
          </w:r>
        </w:sdtContent>
      </w:sdt>
      <w:r w:rsidR="004C45A7">
        <w:t>.</w:t>
      </w:r>
    </w:p>
    <w:p w14:paraId="22D37B2A" w14:textId="7B94790C" w:rsidR="00F643FE" w:rsidRDefault="00F643FE" w:rsidP="00F643FE">
      <w:pPr>
        <w:pStyle w:val="Heading1"/>
      </w:pPr>
      <w:r>
        <w:t>RESEARCH</w:t>
      </w:r>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r>
        <w:t>Algorithm selection</w:t>
      </w:r>
    </w:p>
    <w:p w14:paraId="2FD24A4E" w14:textId="4FF76A41"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Content>
          <w:r w:rsidR="006E32C3">
            <w:fldChar w:fldCharType="begin"/>
          </w:r>
          <w:r w:rsidR="004F310F">
            <w:instrText xml:space="preserve">CITATION Min13 \l 2057 </w:instrText>
          </w:r>
          <w:r w:rsidR="006E32C3">
            <w:fldChar w:fldCharType="separate"/>
          </w:r>
          <w:r w:rsidR="002B32EB" w:rsidRPr="002B32EB">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2B78FEDA" w:rsidR="008302E0" w:rsidRDefault="008302E0" w:rsidP="00F643FE">
      <w:r>
        <w:t>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in a similar way</w:t>
      </w:r>
      <w:r w:rsidR="00364CAC">
        <w:t xml:space="preserve"> 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506F9BC3"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Content>
          <w:r w:rsidR="00364CAC">
            <w:fldChar w:fldCharType="begin"/>
          </w:r>
          <w:r w:rsidR="00364CAC">
            <w:instrText xml:space="preserve"> CITATION Sch15 \l 2057 </w:instrText>
          </w:r>
          <w:r w:rsidR="00364CAC">
            <w:fldChar w:fldCharType="separate"/>
          </w:r>
          <w:r w:rsidR="002B32EB" w:rsidRPr="002B32EB">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This policy optimisation function considers the advantage at each timestep – that is, how much better a certain new action is as compared to the previous on-policy action – a</w:t>
      </w:r>
      <w:r w:rsidR="00DF418B">
        <w:t>nd scales this advantage by some delta coefficient which is a measure of how much this new 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335689BC" w:rsidR="00F643FE" w:rsidRDefault="00F643FE" w:rsidP="001F09F7">
      <w:r>
        <w:t xml:space="preserve">Finally, Proximal Policy Optimization </w:t>
      </w:r>
      <w:sdt>
        <w:sdtPr>
          <w:id w:val="996069225"/>
          <w:citation/>
        </w:sdtPr>
        <w:sdtContent>
          <w:r w:rsidR="002B32EB">
            <w:fldChar w:fldCharType="begin"/>
          </w:r>
          <w:r w:rsidR="002B32EB">
            <w:instrText xml:space="preserve"> CITATION Sch17 \l 2057 </w:instrText>
          </w:r>
          <w:r w:rsidR="002B32EB">
            <w:fldChar w:fldCharType="separate"/>
          </w:r>
          <w:r w:rsidR="002B32EB" w:rsidRPr="002B32EB">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 xml:space="preserve">uses a hyperparameter, epsilon, to constrain the </w:t>
      </w:r>
      <w:r>
        <w:lastRenderedPageBreak/>
        <w:t>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6482B7F2" w:rsidR="005E26F4" w:rsidRDefault="005E26F4" w:rsidP="005E26F4">
      <w:pPr>
        <w:pStyle w:val="Heading1"/>
      </w:pPr>
      <w:r>
        <w:t>RESULTS</w:t>
      </w:r>
    </w:p>
    <w:p w14:paraId="05D7AB30" w14:textId="7F6579D2" w:rsidR="00CB486E" w:rsidRPr="00CB486E" w:rsidRDefault="00CB486E" w:rsidP="00CB486E">
      <w:r>
        <w:t>The 1-dimensional bin packing environment showed excellent results as compared to the control agent which took random choices. It was able to allocate incoming items at accuracies reaching 94%, and reach bin utilization of 98.64%</w:t>
      </w:r>
      <w:r w:rsidR="00E31BDC">
        <w:t>.</w:t>
      </w:r>
    </w:p>
    <w:p w14:paraId="7C7EB5D2" w14:textId="671FF4B8" w:rsidR="005E26F4" w:rsidRPr="005E26F4" w:rsidRDefault="005E26F4" w:rsidP="005E26F4">
      <w:pPr>
        <w:pStyle w:val="Heading1"/>
      </w:pPr>
      <w:r>
        <w:t>CONCLUSIONS</w:t>
      </w:r>
    </w:p>
    <w:p w14:paraId="4474210C" w14:textId="77777777" w:rsidR="006E32C3" w:rsidRDefault="005E26F4">
      <w:pPr>
        <w:pStyle w:val="Heading1"/>
      </w:pPr>
      <w:r>
        <w:t>FURTHER WORK</w:t>
      </w:r>
    </w:p>
    <w:p w14:paraId="413F9998" w14:textId="77777777" w:rsidR="002B32EB" w:rsidRDefault="002B32EB">
      <w:pPr>
        <w:spacing w:line="259" w:lineRule="auto"/>
        <w:jc w:val="left"/>
        <w:rPr>
          <w:rFonts w:asciiTheme="minorHAnsi" w:eastAsiaTheme="majorEastAsia" w:hAnsiTheme="minorHAnsi" w:cstheme="minorHAnsi"/>
          <w:b/>
          <w:bCs/>
          <w:color w:val="000000" w:themeColor="text1"/>
          <w:sz w:val="32"/>
          <w:szCs w:val="44"/>
        </w:rPr>
      </w:pPr>
      <w:r>
        <w:br w:type="page"/>
      </w:r>
    </w:p>
    <w:sdt>
      <w:sdtPr>
        <w:id w:val="1017665309"/>
        <w:docPartObj>
          <w:docPartGallery w:val="Bibliographies"/>
          <w:docPartUnique/>
        </w:docPartObj>
      </w:sdtPr>
      <w:sdtEndPr>
        <w:rPr>
          <w:rFonts w:ascii="Times New Roman" w:eastAsiaTheme="minorHAnsi" w:hAnsi="Times New Roman" w:cstheme="minorBidi"/>
          <w:b w:val="0"/>
          <w:bCs w:val="0"/>
          <w:color w:val="auto"/>
          <w:sz w:val="22"/>
          <w:szCs w:val="22"/>
        </w:rPr>
      </w:sdtEndPr>
      <w:sdtContent>
        <w:p w14:paraId="3966D4E7" w14:textId="61DEF3E6" w:rsidR="006E32C3" w:rsidRDefault="006E32C3" w:rsidP="001C18E9">
          <w:pPr>
            <w:pStyle w:val="Heading1"/>
          </w:pPr>
          <w:r>
            <w:t>References</w:t>
          </w:r>
        </w:p>
        <w:sdt>
          <w:sdtPr>
            <w:id w:val="-573587230"/>
            <w:bibliography/>
          </w:sdtPr>
          <w:sdtContent>
            <w:p w14:paraId="6C6DD6EB" w14:textId="77777777" w:rsidR="002B32EB" w:rsidRDefault="006E32C3" w:rsidP="002B32EB">
              <w:pPr>
                <w:pStyle w:val="Bibliography"/>
                <w:rPr>
                  <w:noProof/>
                  <w:sz w:val="24"/>
                  <w:szCs w:val="24"/>
                </w:rPr>
              </w:pPr>
              <w:r>
                <w:fldChar w:fldCharType="begin"/>
              </w:r>
              <w:r>
                <w:instrText xml:space="preserve"> BIBLIOGRAPHY </w:instrText>
              </w:r>
              <w:r>
                <w:fldChar w:fldCharType="separate"/>
              </w:r>
              <w:r w:rsidR="002B32EB">
                <w:rPr>
                  <w:noProof/>
                </w:rPr>
                <w:t xml:space="preserve">Amazon, 2022. </w:t>
              </w:r>
              <w:r w:rsidR="002B32EB">
                <w:rPr>
                  <w:i/>
                  <w:iCs/>
                  <w:noProof/>
                </w:rPr>
                <w:t xml:space="preserve">Amazon EC2 On-Demand Pricing. </w:t>
              </w:r>
              <w:r w:rsidR="002B32EB">
                <w:rPr>
                  <w:noProof/>
                </w:rPr>
                <w:t xml:space="preserve">[Online] </w:t>
              </w:r>
              <w:r w:rsidR="002B32EB">
                <w:rPr>
                  <w:noProof/>
                </w:rPr>
                <w:br/>
                <w:t xml:space="preserve">Available at: </w:t>
              </w:r>
              <w:r w:rsidR="002B32EB">
                <w:rPr>
                  <w:noProof/>
                  <w:u w:val="single"/>
                </w:rPr>
                <w:t>https://aws.amazon.com/ec2/pricing/on-demand/</w:t>
              </w:r>
              <w:r w:rsidR="002B32EB">
                <w:rPr>
                  <w:noProof/>
                </w:rPr>
                <w:br/>
                <w:t>[Accessed 12 03 2022].</w:t>
              </w:r>
            </w:p>
            <w:p w14:paraId="4CDADCC6" w14:textId="77777777" w:rsidR="002B32EB" w:rsidRDefault="002B32EB" w:rsidP="002B32EB">
              <w:pPr>
                <w:pStyle w:val="Bibliography"/>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035464E3" w14:textId="77777777" w:rsidR="002B32EB" w:rsidRDefault="002B32EB" w:rsidP="002B32EB">
              <w:pPr>
                <w:pStyle w:val="Bibliography"/>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57AEFA7B" w14:textId="77777777" w:rsidR="002B32EB" w:rsidRDefault="002B32EB" w:rsidP="002B32EB">
              <w:pPr>
                <w:pStyle w:val="Bibliography"/>
                <w:rPr>
                  <w:noProof/>
                </w:rPr>
              </w:pPr>
              <w:r>
                <w:rPr>
                  <w:noProof/>
                </w:rPr>
                <w:t xml:space="preserve">Engstrom, L. et al., 2020. </w:t>
              </w:r>
              <w:r>
                <w:rPr>
                  <w:i/>
                  <w:iCs/>
                  <w:noProof/>
                </w:rPr>
                <w:t xml:space="preserve">Implementation matters in deep policy gradients: a case study on PPO and TRPO. </w:t>
              </w:r>
              <w:r>
                <w:rPr>
                  <w:noProof/>
                </w:rPr>
                <w:t>s.l., ICLR.</w:t>
              </w:r>
            </w:p>
            <w:p w14:paraId="6ECC2C5B" w14:textId="77777777" w:rsidR="002B32EB" w:rsidRDefault="002B32EB" w:rsidP="002B32EB">
              <w:pPr>
                <w:pStyle w:val="Bibliography"/>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29CE9094" w14:textId="77777777" w:rsidR="002B32EB" w:rsidRDefault="002B32EB" w:rsidP="002B32EB">
              <w:pPr>
                <w:pStyle w:val="Bibliography"/>
                <w:rPr>
                  <w:noProof/>
                </w:rPr>
              </w:pPr>
              <w:r>
                <w:rPr>
                  <w:noProof/>
                </w:rPr>
                <w:t xml:space="preserve">Mnih, V. et al., 2013. </w:t>
              </w:r>
              <w:r>
                <w:rPr>
                  <w:i/>
                  <w:iCs/>
                  <w:noProof/>
                </w:rPr>
                <w:t xml:space="preserve">Playing Atari with Deep Reinforcement Learning, </w:t>
              </w:r>
              <w:r>
                <w:rPr>
                  <w:noProof/>
                </w:rPr>
                <w:t>s.l.: Google DeepMind.</w:t>
              </w:r>
            </w:p>
            <w:p w14:paraId="748D386E" w14:textId="77777777" w:rsidR="002B32EB" w:rsidRDefault="002B32EB" w:rsidP="002B32EB">
              <w:pPr>
                <w:pStyle w:val="Bibliography"/>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68BADCC7" w14:textId="77777777" w:rsidR="002B32EB" w:rsidRDefault="002B32EB" w:rsidP="002B32EB">
              <w:pPr>
                <w:pStyle w:val="Bibliography"/>
                <w:rPr>
                  <w:noProof/>
                </w:rPr>
              </w:pPr>
              <w:r>
                <w:rPr>
                  <w:noProof/>
                </w:rPr>
                <w:t xml:space="preserve">Schulman, J., Wolski, F., Dhariwal, P. &amp; Radford, A., 2017. Proximal Policy Optimization Algorithms. </w:t>
              </w:r>
            </w:p>
            <w:p w14:paraId="39027A69" w14:textId="4D3751A9" w:rsidR="006E32C3" w:rsidRDefault="006E32C3" w:rsidP="002B32EB">
              <w:pPr>
                <w:jc w:val="left"/>
              </w:pPr>
              <w:r>
                <w:rPr>
                  <w:b/>
                  <w:bCs/>
                  <w:noProof/>
                </w:rPr>
                <w:fldChar w:fldCharType="end"/>
              </w:r>
            </w:p>
          </w:sdtContent>
        </w:sdt>
      </w:sdtContent>
    </w:sdt>
    <w:p w14:paraId="4CC6AD39" w14:textId="77777777" w:rsidR="006E32C3" w:rsidRPr="006E32C3" w:rsidRDefault="006E32C3" w:rsidP="006E32C3"/>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1917" w14:textId="77777777" w:rsidR="00AF061B" w:rsidRDefault="00AF061B" w:rsidP="00017301">
      <w:pPr>
        <w:spacing w:after="0" w:line="240" w:lineRule="auto"/>
      </w:pPr>
      <w:r>
        <w:separator/>
      </w:r>
    </w:p>
  </w:endnote>
  <w:endnote w:type="continuationSeparator" w:id="0">
    <w:p w14:paraId="5B9F18CA" w14:textId="77777777" w:rsidR="00AF061B" w:rsidRDefault="00AF061B"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950E" w14:textId="77777777" w:rsidR="00AF061B" w:rsidRDefault="00AF061B" w:rsidP="00017301">
      <w:pPr>
        <w:spacing w:after="0" w:line="240" w:lineRule="auto"/>
      </w:pPr>
      <w:r>
        <w:separator/>
      </w:r>
    </w:p>
  </w:footnote>
  <w:footnote w:type="continuationSeparator" w:id="0">
    <w:p w14:paraId="343C472C" w14:textId="77777777" w:rsidR="00AF061B" w:rsidRDefault="00AF061B" w:rsidP="00017301">
      <w:pPr>
        <w:spacing w:after="0" w:line="240" w:lineRule="auto"/>
      </w:pPr>
      <w:r>
        <w:continuationSeparator/>
      </w:r>
    </w:p>
  </w:footnote>
  <w:footnote w:id="1">
    <w:p w14:paraId="76794F5F" w14:textId="3B2D9168" w:rsidR="00017301" w:rsidRDefault="00017301">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017301" w:rsidRDefault="00017301">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A40EDE7" w:rsidR="002B32EB" w:rsidRDefault="002B32EB">
      <w:pPr>
        <w:pStyle w:val="FootnoteText"/>
      </w:pPr>
      <w:r>
        <w:rPr>
          <w:rStyle w:val="FootnoteReference"/>
        </w:rPr>
        <w:footnoteRef/>
      </w:r>
      <w:r>
        <w:t xml:space="preserve"> </w:t>
      </w:r>
      <w:r>
        <w:t>This describes the clipping method, but it is also possible to use the KL-divergence penalty method, or indeed a hybrid method using a KL-divergence constraint wrapping our clipping method. An ablation study by OpenAI found the clipping method to work better</w:t>
      </w:r>
      <w:r>
        <w:t xml:space="preserve"> </w:t>
      </w:r>
      <w:sdt>
        <w:sdtPr>
          <w:id w:val="1718556437"/>
          <w:citation/>
        </w:sdtPr>
        <w:sdtContent>
          <w:r>
            <w:fldChar w:fldCharType="begin"/>
          </w:r>
          <w:r>
            <w:instrText xml:space="preserve"> CITATION Eng20 \l 2057 </w:instrText>
          </w:r>
          <w:r>
            <w:fldChar w:fldCharType="separate"/>
          </w:r>
          <w:r w:rsidRPr="002B32EB">
            <w:rPr>
              <w:noProof/>
            </w:rPr>
            <w:t>(Engstrom, et al., 2020)</w:t>
          </w:r>
          <w:r>
            <w:fldChar w:fldCharType="end"/>
          </w:r>
        </w:sdtContent>
      </w:sdt>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17301"/>
    <w:rsid w:val="00053D7C"/>
    <w:rsid w:val="0007060B"/>
    <w:rsid w:val="000B1799"/>
    <w:rsid w:val="00171B4B"/>
    <w:rsid w:val="001C18E9"/>
    <w:rsid w:val="001C6FFB"/>
    <w:rsid w:val="001F09F7"/>
    <w:rsid w:val="00221B3C"/>
    <w:rsid w:val="002332EE"/>
    <w:rsid w:val="002345BA"/>
    <w:rsid w:val="002471EA"/>
    <w:rsid w:val="002833A8"/>
    <w:rsid w:val="00287748"/>
    <w:rsid w:val="002933F6"/>
    <w:rsid w:val="002B32EB"/>
    <w:rsid w:val="002D7F3C"/>
    <w:rsid w:val="003471AC"/>
    <w:rsid w:val="00364CAC"/>
    <w:rsid w:val="004C45A7"/>
    <w:rsid w:val="004C6F9D"/>
    <w:rsid w:val="004F310F"/>
    <w:rsid w:val="00523B60"/>
    <w:rsid w:val="00564B45"/>
    <w:rsid w:val="00577B19"/>
    <w:rsid w:val="005E26F4"/>
    <w:rsid w:val="00617CFB"/>
    <w:rsid w:val="0067313D"/>
    <w:rsid w:val="0069716A"/>
    <w:rsid w:val="006B5F0E"/>
    <w:rsid w:val="006B78BE"/>
    <w:rsid w:val="006E32C3"/>
    <w:rsid w:val="00717DDE"/>
    <w:rsid w:val="0073390E"/>
    <w:rsid w:val="00754FB1"/>
    <w:rsid w:val="0077179B"/>
    <w:rsid w:val="007F0648"/>
    <w:rsid w:val="008302E0"/>
    <w:rsid w:val="0083669E"/>
    <w:rsid w:val="0090691C"/>
    <w:rsid w:val="00944B88"/>
    <w:rsid w:val="009C638C"/>
    <w:rsid w:val="00A06C3A"/>
    <w:rsid w:val="00AA0C04"/>
    <w:rsid w:val="00AF061B"/>
    <w:rsid w:val="00B247DF"/>
    <w:rsid w:val="00B43AAA"/>
    <w:rsid w:val="00BB0342"/>
    <w:rsid w:val="00C01997"/>
    <w:rsid w:val="00C96BA6"/>
    <w:rsid w:val="00C97500"/>
    <w:rsid w:val="00CA5140"/>
    <w:rsid w:val="00CB359B"/>
    <w:rsid w:val="00CB486E"/>
    <w:rsid w:val="00CE4C87"/>
    <w:rsid w:val="00CF16C3"/>
    <w:rsid w:val="00D27822"/>
    <w:rsid w:val="00D4068A"/>
    <w:rsid w:val="00DC1C4E"/>
    <w:rsid w:val="00DF418B"/>
    <w:rsid w:val="00E13898"/>
    <w:rsid w:val="00E172F4"/>
    <w:rsid w:val="00E31BDC"/>
    <w:rsid w:val="00E32CE2"/>
    <w:rsid w:val="00E87D23"/>
    <w:rsid w:val="00F643FE"/>
    <w:rsid w:val="00F64897"/>
    <w:rsid w:val="00FA6583"/>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D036641B-E70C-4E71-8E66-C5FBE835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6</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8</cp:revision>
  <dcterms:created xsi:type="dcterms:W3CDTF">2022-02-05T18:25:00Z</dcterms:created>
  <dcterms:modified xsi:type="dcterms:W3CDTF">2022-04-22T14:03:00Z</dcterms:modified>
</cp:coreProperties>
</file>