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065EDDA4"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 to Section X.</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p>
    <w:p w14:paraId="729D36A8" w14:textId="55730B47"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t xml:space="preserve">We hope that others, like the reviewer, recognise the worth of this method and, by publishing the article in JRSI, that others </w:t>
      </w:r>
      <w:r w:rsidR="004B3DD9" w:rsidRPr="00356B75">
        <w:rPr>
          <w:rFonts w:ascii="Times New Roman" w:hAnsi="Times New Roman"/>
          <w:color w:val="00B050"/>
          <w:sz w:val="24"/>
        </w:rPr>
        <w:t xml:space="preserve">may also be motivated to take up </w:t>
      </w:r>
      <w:r w:rsidRPr="00356B75">
        <w:rPr>
          <w:rFonts w:ascii="Times New Roman" w:hAnsi="Times New Roman"/>
          <w:color w:val="00B050"/>
          <w:sz w:val="24"/>
        </w:rPr>
        <w:t xml:space="preserve">the </w:t>
      </w:r>
      <w:r w:rsidR="00F0752B" w:rsidRPr="00356B75">
        <w:rPr>
          <w:rFonts w:ascii="Times New Roman" w:hAnsi="Times New Roman"/>
          <w:color w:val="00B050"/>
          <w:sz w:val="24"/>
        </w:rPr>
        <w:t xml:space="preserve">task </w:t>
      </w:r>
      <w:r w:rsidR="00F0752B" w:rsidRPr="00356B75">
        <w:rPr>
          <w:rFonts w:ascii="Times New Roman" w:hAnsi="Times New Roman"/>
          <w:color w:val="00B050"/>
          <w:sz w:val="24"/>
        </w:rPr>
        <w:lastRenderedPageBreak/>
        <w:t>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2989DE33"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 xml:space="preserve">In Figure 4, </w:t>
      </w:r>
      <w:ins w:id="4" w:author="Lambert, Benjamin C" w:date="2019-10-12T19:29:00Z">
        <w:r w:rsidR="009E5B57" w:rsidRPr="009E5B57">
          <w:rPr>
            <w:rFonts w:ascii="Times New Roman" w:hAnsi="Times New Roman"/>
            <w:iCs/>
            <w:color w:val="0070C0"/>
            <w:sz w:val="24"/>
            <w:shd w:val="clear" w:color="auto" w:fill="FFFFFF"/>
          </w:rPr>
          <w: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to simplify a model until output samples no longer correspond with the target. The most parsimonious model would then be the simplest case where the output samples still match the target. We note however, such an approach may be dangerous if the most parsimonious model is then used to predict the distributions of other functionals.</w:t>
        </w:r>
      </w:ins>
      <w:del w:id="5" w:author="Lambert, Benjamin C" w:date="2019-10-12T19:29:00Z">
        <w:r w:rsidR="00D21816" w:rsidRPr="00356B75" w:rsidDel="009E5B57">
          <w:rPr>
            <w:rFonts w:ascii="Times New Roman" w:hAnsi="Times New Roman"/>
            <w:iCs/>
            <w:color w:val="0070C0"/>
            <w:sz w:val="24"/>
            <w:shd w:val="clear" w:color="auto" w:fill="FFFFFF"/>
          </w:rPr>
          <w:delTex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delText>
        </w:r>
        <w:r w:rsidR="004B3DD9" w:rsidRPr="00356B75" w:rsidDel="009E5B57">
          <w:rPr>
            <w:rFonts w:ascii="Times New Roman" w:hAnsi="Times New Roman"/>
            <w:iCs/>
            <w:color w:val="0070C0"/>
            <w:sz w:val="24"/>
            <w:shd w:val="clear" w:color="auto" w:fill="FFFFFF"/>
          </w:rPr>
          <w:delText xml:space="preserve"> We note however, that may be dangerous when using the most parsimonious model to predict other functionals</w:delText>
        </w:r>
      </w:del>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lastRenderedPageBreak/>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0015A7" w:rsidRDefault="000015A7" w:rsidP="00DE1255">
      <w:pPr>
        <w:pStyle w:val="ListParagraph"/>
        <w:numPr>
          <w:ilvl w:val="0"/>
          <w:numId w:val="12"/>
        </w:numPr>
        <w:rPr>
          <w:rFonts w:ascii="Times New Roman" w:hAnsi="Times New Roman"/>
          <w:iCs/>
          <w:color w:val="0070C0"/>
          <w:sz w:val="24"/>
          <w:shd w:val="clear" w:color="auto" w:fill="FFFFFF"/>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Hasenhauer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0010185C" w:rsidRPr="000015A7">
        <w:rPr>
          <w:rFonts w:ascii="Times New Roman" w:hAnsi="Times New Roman"/>
          <w:color w:val="222222"/>
          <w:sz w:val="24"/>
          <w:shd w:val="clear" w:color="auto" w:fill="FFFFFF"/>
        </w:rPr>
        <w:t xml:space="preserve"> </w:t>
      </w:r>
      <w:r w:rsidR="0010185C" w:rsidRPr="000015A7">
        <w:rPr>
          <w:rFonts w:ascii="Times New Roman" w:hAnsi="Times New Roman"/>
          <w:i/>
          <w:iCs/>
          <w:color w:val="222222"/>
          <w:sz w:val="24"/>
          <w:shd w:val="clear" w:color="auto" w:fill="FFFFFF"/>
        </w:rPr>
        <w:t>“</w:t>
      </w:r>
      <w:r w:rsidR="0010185C" w:rsidRPr="000015A7">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7D6CC846" w:rsidR="004E4624" w:rsidRPr="00356B75" w:rsidRDefault="007C4276" w:rsidP="00B038F7">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 xml:space="preserve">(Karlsson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r w:rsidR="00E55E2C" w:rsidRPr="00356B75">
        <w:rPr>
          <w:rFonts w:ascii="Times New Roman" w:hAnsi="Times New Roman"/>
          <w:iCs/>
          <w:color w:val="0070C0"/>
          <w:sz w:val="24"/>
          <w:shd w:val="clear" w:color="auto" w:fill="FFFFFF"/>
        </w:rPr>
        <w:t xml:space="preserve"> </w:t>
      </w:r>
      <w:r w:rsidR="00E55E2C" w:rsidRPr="00356B75">
        <w:rPr>
          <w:rFonts w:ascii="Times New Roman" w:hAnsi="Times New Roman"/>
          <w:iCs/>
          <w:color w:val="0070C0"/>
          <w:sz w:val="24"/>
          <w:shd w:val="clear" w:color="auto" w:fill="FFFFFF"/>
        </w:rPr>
        <w:lastRenderedPageBreak/>
        <w:t xml:space="preserve">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xml:space="preserve">. </w:t>
      </w:r>
      <w:r w:rsidR="00B038F7" w:rsidRPr="00B038F7">
        <w:rPr>
          <w:rFonts w:ascii="Times New Roman" w:hAnsi="Times New Roman"/>
          <w:iCs/>
          <w:color w:val="0070C0"/>
          <w:sz w:val="24"/>
          <w:shd w:val="clear" w:color="auto" w:fill="FFFFFF"/>
        </w:rPr>
        <w:t>Since typically fitting mixed effect models requires more than one observation per cell, they</w:t>
      </w:r>
      <w:r w:rsidR="0002576A" w:rsidRPr="00356B75">
        <w:rPr>
          <w:rFonts w:ascii="Times New Roman" w:hAnsi="Times New Roman"/>
          <w:iCs/>
          <w:color w:val="0070C0"/>
          <w:sz w:val="24"/>
          <w:shd w:val="clear" w:color="auto" w:fill="FFFFFF"/>
        </w:rPr>
        <w:t xml:space="preserve"> impose severe restrictions on experimental practices meaning they cannot be used in many circumstances, including for online monitoring of biotechnological processes or analysis of in vivo studies. </w:t>
      </w:r>
      <w:r w:rsidR="004D296C">
        <w:rPr>
          <w:rFonts w:ascii="Times New Roman" w:hAnsi="Times New Roman"/>
          <w:iCs/>
          <w:color w:val="0070C0"/>
          <w:sz w:val="24"/>
          <w:shd w:val="clear" w:color="auto" w:fill="FFFFFF"/>
        </w:rPr>
        <w:t>“S</w:t>
      </w:r>
      <w:r w:rsidR="0002576A" w:rsidRPr="00356B75">
        <w:rPr>
          <w:rFonts w:ascii="Times New Roman" w:hAnsi="Times New Roman"/>
          <w:iCs/>
          <w:color w:val="0070C0"/>
          <w:sz w:val="24"/>
          <w:shd w:val="clear" w:color="auto" w:fill="FFFFFF"/>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16E93">
        <w:rPr>
          <w:rFonts w:ascii="Times New Roman" w:hAnsi="Times New Roman"/>
          <w:color w:val="222222"/>
          <w:sz w:val="24"/>
          <w:u w:val="single"/>
          <w:shd w:val="clear" w:color="auto" w:fill="FFFFFF"/>
        </w:rPr>
        <w:t>Major Issues</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w:t>
      </w:r>
      <w:r w:rsidRPr="00356B75">
        <w:rPr>
          <w:rFonts w:ascii="Times New Roman" w:hAnsi="Times New Roman"/>
          <w:color w:val="222222"/>
          <w:sz w:val="24"/>
          <w:shd w:val="clear" w:color="auto" w:fill="FFFFFF"/>
        </w:rPr>
        <w:lastRenderedPageBreak/>
        <w:t>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6E710FE5"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w:t>
      </w:r>
      <w:ins w:id="6" w:author="Lambert, Benjamin C" w:date="2019-10-12T19:31:00Z">
        <w:r w:rsidR="00346192">
          <w:rPr>
            <w:rFonts w:ascii="Times New Roman" w:hAnsi="Times New Roman"/>
            <w:color w:val="00B050"/>
            <w:sz w:val="24"/>
            <w:shd w:val="clear" w:color="auto" w:fill="FFFFFF"/>
          </w:rPr>
          <w:t>w</w:t>
        </w:r>
      </w:ins>
      <w:del w:id="7" w:author="Lambert, Benjamin C" w:date="2019-10-12T19:31:00Z">
        <w:r w:rsidR="00FC6F34" w:rsidRPr="00356B75" w:rsidDel="00346192">
          <w:rPr>
            <w:rFonts w:ascii="Times New Roman" w:hAnsi="Times New Roman"/>
            <w:color w:val="00B050"/>
            <w:sz w:val="24"/>
            <w:shd w:val="clear" w:color="auto" w:fill="FFFFFF"/>
          </w:rPr>
          <w:delText>t</w:delText>
        </w:r>
      </w:del>
      <w:r w:rsidR="00FC6F34" w:rsidRPr="00356B75">
        <w:rPr>
          <w:rFonts w:ascii="Times New Roman" w:hAnsi="Times New Roman"/>
          <w:color w:val="00B050"/>
          <w:sz w:val="24"/>
          <w:shd w:val="clear" w:color="auto" w:fill="FFFFFF"/>
        </w:rPr>
        <w:t xml:space="preserve">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1FF6DAD7"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w:t>
      </w:r>
      <w:ins w:id="8" w:author="Lambert, Benjamin C" w:date="2019-10-12T19:32:00Z">
        <w:r w:rsidR="0065364B">
          <w:rPr>
            <w:rFonts w:ascii="Times New Roman" w:hAnsi="Times New Roman"/>
            <w:color w:val="00B050"/>
            <w:sz w:val="24"/>
          </w:rPr>
          <w:t>,</w:t>
        </w:r>
      </w:ins>
      <w:r w:rsidR="00B37412" w:rsidRPr="00356B75">
        <w:rPr>
          <w:rFonts w:ascii="Times New Roman" w:hAnsi="Times New Roman"/>
          <w:color w:val="00B050"/>
          <w:sz w:val="24"/>
        </w:rPr>
        <w:t xml:space="preserve">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lastRenderedPageBreak/>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51CC9FED"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Our method does not resolve individual cell trajectories since it is fit to </w:t>
      </w:r>
      <w:del w:id="9" w:author="Lambert, Benjamin C" w:date="2019-10-12T19:34:00Z">
        <w:r w:rsidRPr="00356B75" w:rsidDel="0001463B">
          <w:rPr>
            <w:rFonts w:ascii="Times New Roman" w:hAnsi="Times New Roman"/>
            <w:color w:val="00B050"/>
            <w:sz w:val="24"/>
            <w:shd w:val="clear" w:color="auto" w:fill="FFFFFF"/>
          </w:rPr>
          <w:delText>``</w:delText>
        </w:r>
      </w:del>
      <w:ins w:id="10" w:author="Lambert, Benjamin C" w:date="2019-10-12T19:34:00Z">
        <w:r w:rsidR="0001463B">
          <w:rPr>
            <w:rFonts w:ascii="Times New Roman" w:hAnsi="Times New Roman"/>
            <w:color w:val="00B050"/>
            <w:sz w:val="24"/>
            <w:shd w:val="clear" w:color="auto" w:fill="FFFFFF"/>
          </w:rPr>
          <w:t xml:space="preserve"> “</w:t>
        </w:r>
      </w:ins>
      <w:r w:rsidRPr="00356B75">
        <w:rPr>
          <w:rFonts w:ascii="Times New Roman" w:hAnsi="Times New Roman"/>
          <w:color w:val="00B050"/>
          <w:sz w:val="24"/>
          <w:shd w:val="clear" w:color="auto" w:fill="FFFFFF"/>
        </w:rPr>
        <w:t xml:space="preserve">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44A2CF0E"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1" w:author="Lambert, Benjamin C" w:date="2019-10-12T19:34:00Z">
        <w:r w:rsidRPr="00BD5AB6" w:rsidDel="0075642E">
          <w:rPr>
            <w:rFonts w:ascii="Times New Roman" w:hAnsi="Times New Roman"/>
            <w:color w:val="00B050"/>
            <w:sz w:val="24"/>
            <w:shd w:val="clear" w:color="auto" w:fill="FFFFFF"/>
          </w:rPr>
          <w:delText>???</w:delText>
        </w:r>
      </w:del>
      <w:ins w:id="12" w:author="Lambert, Benjamin C" w:date="2019-10-12T19:34:00Z">
        <w:r w:rsidR="0075642E">
          <w:rPr>
            <w:rFonts w:ascii="Times New Roman" w:hAnsi="Times New Roman"/>
            <w:color w:val="00B050"/>
            <w:sz w:val="24"/>
            <w:shd w:val="clear" w:color="auto" w:fill="FFFFFF"/>
          </w:rPr>
          <w:t xml:space="preserve"> This </w:t>
        </w:r>
        <w:r w:rsidR="0075642E">
          <w:rPr>
            <w:rFonts w:ascii="Times New Roman" w:hAnsi="Times New Roman"/>
            <w:i/>
            <w:iCs/>
            <w:color w:val="00B050"/>
            <w:sz w:val="24"/>
            <w:shd w:val="clear" w:color="auto" w:fill="FFFFFF"/>
          </w:rPr>
          <w:t>can</w:t>
        </w:r>
        <w:r w:rsidR="0075642E">
          <w:rPr>
            <w:rFonts w:ascii="Times New Roman" w:hAnsi="Times New Roman"/>
            <w:color w:val="00B050"/>
            <w:sz w:val="24"/>
            <w:shd w:val="clear" w:color="auto" w:fill="FFFFFF"/>
          </w:rPr>
          <w:t xml:space="preserve"> be the ca</w:t>
        </w:r>
      </w:ins>
      <w:ins w:id="13" w:author="Lambert, Benjamin C" w:date="2019-10-12T19:35:00Z">
        <w:r w:rsidR="0075642E">
          <w:rPr>
            <w:rFonts w:ascii="Times New Roman" w:hAnsi="Times New Roman"/>
            <w:color w:val="00B050"/>
            <w:sz w:val="24"/>
            <w:shd w:val="clear" w:color="auto" w:fill="FFFFFF"/>
          </w:rPr>
          <w:t xml:space="preserve">se but is certainly not always so. In the cases we consider, the posterior parameter distribution does not appear to </w:t>
        </w:r>
      </w:ins>
      <w:ins w:id="14" w:author="Lambert, Benjamin C" w:date="2019-10-12T19:36:00Z">
        <w:r w:rsidR="0075642E">
          <w:rPr>
            <w:rFonts w:ascii="Times New Roman" w:hAnsi="Times New Roman"/>
            <w:color w:val="00B050"/>
            <w:sz w:val="24"/>
            <w:shd w:val="clear" w:color="auto" w:fill="FFFFFF"/>
          </w:rPr>
          <w:t xml:space="preserve">be stretched across many orders of magnitude, so we think that setting priors on the levels is probably reasonable. </w:t>
        </w:r>
      </w:ins>
      <w:r w:rsidR="00C64A8C" w:rsidRPr="00BD5AB6">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790DE1A5"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5" w:author="Lambert, Benjamin C" w:date="2019-10-12T19:37:00Z">
        <w:r w:rsidRPr="00BD5AB6" w:rsidDel="00AA13A6">
          <w:rPr>
            <w:rFonts w:ascii="Times New Roman" w:hAnsi="Times New Roman"/>
            <w:color w:val="00B050"/>
            <w:sz w:val="24"/>
            <w:shd w:val="clear" w:color="auto" w:fill="FFFFFF"/>
          </w:rPr>
          <w:delText>???</w:delText>
        </w:r>
      </w:del>
      <w:ins w:id="16" w:author="Lambert, Benjamin C" w:date="2019-10-12T19:37:00Z">
        <w:r w:rsidR="00AA13A6">
          <w:rPr>
            <w:rFonts w:ascii="Times New Roman" w:hAnsi="Times New Roman"/>
            <w:color w:val="00B050"/>
            <w:sz w:val="24"/>
            <w:shd w:val="clear" w:color="auto" w:fill="FFFFFF"/>
          </w:rPr>
          <w:t xml:space="preserve"> </w:t>
        </w:r>
      </w:ins>
      <w:ins w:id="17" w:author="Lambert, Benjamin C" w:date="2019-10-12T19:39:00Z">
        <w:r w:rsidR="002E38CC">
          <w:rPr>
            <w:rFonts w:ascii="Times New Roman" w:hAnsi="Times New Roman"/>
            <w:color w:val="00B050"/>
            <w:sz w:val="24"/>
            <w:shd w:val="clear" w:color="auto" w:fill="FFFFFF"/>
          </w:rPr>
          <w:t xml:space="preserve">We </w:t>
        </w:r>
      </w:ins>
      <w:ins w:id="18" w:author="Lambert, Benjamin C" w:date="2019-10-12T20:04:00Z">
        <w:r w:rsidR="00E50D56">
          <w:rPr>
            <w:rFonts w:ascii="Times New Roman" w:hAnsi="Times New Roman"/>
            <w:color w:val="00B050"/>
            <w:sz w:val="24"/>
            <w:shd w:val="clear" w:color="auto" w:fill="FFFFFF"/>
          </w:rPr>
          <w:t xml:space="preserve">thank the reviewer for the histogram point – we have changed this over to a marginal density as in the other figures. </w:t>
        </w:r>
      </w:ins>
      <w:ins w:id="19" w:author="Lambert, Benjamin C" w:date="2019-10-12T19:37:00Z">
        <w:r w:rsidR="00AA13A6">
          <w:rPr>
            <w:rFonts w:ascii="Times New Roman" w:hAnsi="Times New Roman"/>
            <w:color w:val="00B050"/>
            <w:sz w:val="24"/>
            <w:shd w:val="clear" w:color="auto" w:fill="FFFFFF"/>
          </w:rPr>
          <w:t xml:space="preserve">We could have used a non-Gaussian density to approximate the target, yes, </w:t>
        </w:r>
      </w:ins>
      <w:ins w:id="20" w:author="Lambert, Benjamin C" w:date="2019-10-12T19:38:00Z">
        <w:r w:rsidR="00AA13A6">
          <w:rPr>
            <w:rFonts w:ascii="Times New Roman" w:hAnsi="Times New Roman"/>
            <w:color w:val="00B050"/>
            <w:sz w:val="24"/>
            <w:shd w:val="clear" w:color="auto" w:fill="FFFFFF"/>
          </w:rPr>
          <w:t xml:space="preserve">but we </w:t>
        </w:r>
        <w:r w:rsidR="00A4716D">
          <w:rPr>
            <w:rFonts w:ascii="Times New Roman" w:hAnsi="Times New Roman"/>
            <w:color w:val="00B050"/>
            <w:sz w:val="24"/>
            <w:shd w:val="clear" w:color="auto" w:fill="FFFFFF"/>
          </w:rPr>
          <w:t>believe that the distributions were sufficiently Gaussian that it makes little difference (apart from simplifying the discussion of results significantly).</w:t>
        </w:r>
      </w:ins>
      <w:bookmarkStart w:id="21" w:name="_GoBack"/>
      <w:bookmarkEnd w:id="21"/>
      <w:r w:rsidRPr="00BD5AB6">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lastRenderedPageBreak/>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w:t>
      </w:r>
      <w:r w:rsidR="0086333A" w:rsidRPr="00356B75">
        <w:rPr>
          <w:rFonts w:ascii="Times New Roman" w:hAnsi="Times New Roman"/>
          <w:iCs/>
          <w:color w:val="0070C0"/>
          <w:sz w:val="24"/>
          <w:shd w:val="clear" w:color="auto" w:fill="FFFFFF"/>
        </w:rPr>
        <w:lastRenderedPageBreak/>
        <w:t>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More ackwardly,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66A304F1"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code help to make research more generally useful for readers. Alongside this paper, we provide an accompanying tutorial paper and, fully-</w:t>
      </w:r>
      <w:r w:rsidR="0044217F" w:rsidRPr="00356B75">
        <w:rPr>
          <w:rFonts w:ascii="Times New Roman" w:hAnsi="Times New Roman"/>
          <w:color w:val="00B050"/>
          <w:sz w:val="24"/>
        </w:rPr>
        <w:lastRenderedPageBreak/>
        <w:t xml:space="preserve">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25BE3154"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t>We agree this is a limiting case</w:t>
      </w:r>
      <w:ins w:id="22" w:author="Lambert, Benjamin C" w:date="2019-10-12T19:25:00Z">
        <w:r w:rsidR="00F568F2">
          <w:rPr>
            <w:rFonts w:ascii="Times New Roman" w:hAnsi="Times New Roman"/>
            <w:color w:val="00B050"/>
            <w:sz w:val="24"/>
          </w:rPr>
          <w:t xml:space="preserve"> but argue it is a useful one to consider with the increasing quality of experimental methods.</w:t>
        </w:r>
      </w:ins>
      <w:del w:id="23" w:author="Lambert, Benjamin C" w:date="2019-10-12T19:24:00Z">
        <w:r w:rsidDel="00C17ABE">
          <w:rPr>
            <w:rFonts w:ascii="Times New Roman" w:hAnsi="Times New Roman"/>
            <w:color w:val="00B050"/>
            <w:sz w:val="24"/>
          </w:rPr>
          <w:delText>,</w:delText>
        </w:r>
        <w:r w:rsidR="00C20086" w:rsidDel="00C17ABE">
          <w:rPr>
            <w:rFonts w:ascii="Times New Roman" w:hAnsi="Times New Roman"/>
            <w:color w:val="00B050"/>
            <w:sz w:val="24"/>
          </w:rPr>
          <w:delText xml:space="preserve"> but argue it is a useful one to consider.</w:delText>
        </w:r>
        <w:r w:rsidDel="00C17ABE">
          <w:rPr>
            <w:rFonts w:ascii="Times New Roman" w:hAnsi="Times New Roman"/>
            <w:color w:val="00B050"/>
            <w:sz w:val="24"/>
          </w:rPr>
          <w:delText xml:space="preserve"> </w:delText>
        </w:r>
        <w:r w:rsidR="00BA0EF6" w:rsidDel="00C17ABE">
          <w:rPr>
            <w:rFonts w:ascii="Times New Roman" w:hAnsi="Times New Roman"/>
            <w:color w:val="00B050"/>
            <w:sz w:val="24"/>
          </w:rPr>
          <w:delText xml:space="preserve">Further, </w:delText>
        </w:r>
        <w:r w:rsidR="00EF0DE9" w:rsidDel="00C17ABE">
          <w:rPr>
            <w:rFonts w:ascii="Times New Roman" w:hAnsi="Times New Roman"/>
            <w:color w:val="00B050"/>
            <w:sz w:val="24"/>
          </w:rPr>
          <w:delText xml:space="preserve">an accounting for the effect of measurement error is provided by </w:delText>
        </w:r>
        <w:r w:rsidDel="00C17ABE">
          <w:rPr>
            <w:rFonts w:ascii="Times New Roman" w:hAnsi="Times New Roman"/>
            <w:color w:val="00B050"/>
            <w:sz w:val="24"/>
          </w:rPr>
          <w:delText>Butler</w:delText>
        </w:r>
        <w:r w:rsidR="00BA0EF6" w:rsidDel="00C17ABE">
          <w:rPr>
            <w:rFonts w:ascii="Times New Roman" w:hAnsi="Times New Roman"/>
            <w:color w:val="00B050"/>
            <w:sz w:val="24"/>
          </w:rPr>
          <w:delText xml:space="preserve"> </w:delText>
        </w:r>
        <w:r w:rsidR="006131DD" w:rsidDel="00C17ABE">
          <w:rPr>
            <w:rFonts w:ascii="Times New Roman" w:hAnsi="Times New Roman"/>
            <w:color w:val="00B050"/>
            <w:sz w:val="24"/>
          </w:rPr>
          <w:delText>et al (2018)</w:delText>
        </w:r>
        <w:r w:rsidR="00EF0DE9" w:rsidDel="00C17ABE">
          <w:rPr>
            <w:rFonts w:ascii="Times New Roman" w:hAnsi="Times New Roman"/>
            <w:color w:val="00B050"/>
            <w:sz w:val="24"/>
          </w:rPr>
          <w:delText xml:space="preserve">. These authors </w:delText>
        </w:r>
        <w:r w:rsidR="006131DD" w:rsidDel="00C17ABE">
          <w:rPr>
            <w:rFonts w:ascii="Times New Roman" w:hAnsi="Times New Roman"/>
            <w:color w:val="00B050"/>
            <w:sz w:val="24"/>
          </w:rPr>
          <w:delText>consider the effect of measurement error through a stability analysis of the posterior distribution</w:delText>
        </w:r>
        <w:r w:rsidR="002100D2" w:rsidDel="00C17ABE">
          <w:rPr>
            <w:rFonts w:ascii="Times New Roman" w:hAnsi="Times New Roman"/>
            <w:color w:val="00B050"/>
            <w:sz w:val="24"/>
          </w:rPr>
          <w:delText>,</w:delText>
        </w:r>
        <w:r w:rsidR="006131DD" w:rsidDel="00C17ABE">
          <w:rPr>
            <w:rFonts w:ascii="Times New Roman" w:hAnsi="Times New Roman"/>
            <w:color w:val="00B050"/>
            <w:sz w:val="24"/>
          </w:rPr>
          <w:delText xml:space="preserve"> and provide </w:delText>
        </w:r>
        <w:r w:rsidRPr="006131DD" w:rsidDel="00C17ABE">
          <w:rPr>
            <w:rFonts w:ascii="Times New Roman" w:hAnsi="Times New Roman"/>
            <w:i/>
            <w:color w:val="00B050"/>
            <w:sz w:val="24"/>
          </w:rPr>
          <w:delText>a priori</w:delText>
        </w:r>
        <w:r w:rsidDel="00C17ABE">
          <w:rPr>
            <w:rFonts w:ascii="Times New Roman" w:hAnsi="Times New Roman"/>
            <w:color w:val="00B050"/>
            <w:sz w:val="24"/>
          </w:rPr>
          <w:delText xml:space="preserve"> bound</w:delText>
        </w:r>
        <w:r w:rsidR="006131DD" w:rsidDel="00C17ABE">
          <w:rPr>
            <w:rFonts w:ascii="Times New Roman" w:hAnsi="Times New Roman"/>
            <w:color w:val="00B050"/>
            <w:sz w:val="24"/>
          </w:rPr>
          <w:delText>s</w:delText>
        </w:r>
        <w:r w:rsidDel="00C17ABE">
          <w:rPr>
            <w:rFonts w:ascii="Times New Roman" w:hAnsi="Times New Roman"/>
            <w:color w:val="00B050"/>
            <w:sz w:val="24"/>
          </w:rPr>
          <w:delText xml:space="preserve"> on the </w:delText>
        </w:r>
        <w:r w:rsidR="006131DD" w:rsidDel="00C17ABE">
          <w:rPr>
            <w:rFonts w:ascii="Times New Roman" w:hAnsi="Times New Roman"/>
            <w:color w:val="00B050"/>
            <w:sz w:val="24"/>
          </w:rPr>
          <w:delText xml:space="preserve">posterior </w:delText>
        </w:r>
        <w:r w:rsidDel="00C17ABE">
          <w:rPr>
            <w:rFonts w:ascii="Times New Roman" w:hAnsi="Times New Roman"/>
            <w:color w:val="00B050"/>
            <w:sz w:val="24"/>
          </w:rPr>
          <w:delText xml:space="preserve">distributions </w:delText>
        </w:r>
        <w:r w:rsidR="00051100" w:rsidDel="00C17ABE">
          <w:rPr>
            <w:rFonts w:ascii="Times New Roman" w:hAnsi="Times New Roman"/>
            <w:color w:val="00B050"/>
            <w:sz w:val="24"/>
          </w:rPr>
          <w:delText>in theorems</w:delText>
        </w:r>
        <w:r w:rsidR="006131DD" w:rsidDel="00C17ABE">
          <w:rPr>
            <w:rFonts w:ascii="Times New Roman" w:hAnsi="Times New Roman"/>
            <w:color w:val="00B050"/>
            <w:sz w:val="24"/>
          </w:rPr>
          <w:delText xml:space="preserve"> 4.1 and 4.5.</w:delText>
        </w:r>
        <w:r w:rsidR="00001E96" w:rsidDel="00C17ABE">
          <w:rPr>
            <w:rFonts w:ascii="Times New Roman" w:hAnsi="Times New Roman"/>
            <w:color w:val="00B050"/>
            <w:sz w:val="24"/>
          </w:rPr>
          <w:delText xml:space="preserve"> </w:delText>
        </w:r>
        <w:r w:rsidR="00001E96" w:rsidRPr="00001E96" w:rsidDel="00C17ABE">
          <w:rPr>
            <w:rFonts w:ascii="Times New Roman" w:hAnsi="Times New Roman"/>
            <w:color w:val="0070C0"/>
            <w:sz w:val="24"/>
          </w:rPr>
          <w:delText xml:space="preserve">Butler et al (2018) consider the effect of measurement error through a stability analysis of the posterior distribution and provide </w:delText>
        </w:r>
        <w:r w:rsidR="00001E96" w:rsidRPr="00001E96" w:rsidDel="00C17ABE">
          <w:rPr>
            <w:rFonts w:ascii="Times New Roman" w:hAnsi="Times New Roman"/>
            <w:i/>
            <w:color w:val="0070C0"/>
            <w:sz w:val="24"/>
          </w:rPr>
          <w:delText>a priori</w:delText>
        </w:r>
        <w:r w:rsidR="00001E96" w:rsidRPr="00001E96" w:rsidDel="00C17ABE">
          <w:rPr>
            <w:rFonts w:ascii="Times New Roman" w:hAnsi="Times New Roman"/>
            <w:color w:val="0070C0"/>
            <w:sz w:val="24"/>
          </w:rPr>
          <w:delText xml:space="preserve"> bounds on the posterior distributions in theorems 4.1 and 4.5.</w:delText>
        </w:r>
      </w:del>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6A886753" w14:textId="7B6E55DD" w:rsidR="00C20086" w:rsidDel="006E68DC" w:rsidRDefault="00C20086" w:rsidP="00FC4875">
      <w:pPr>
        <w:pStyle w:val="ListParagraph"/>
        <w:numPr>
          <w:ilvl w:val="0"/>
          <w:numId w:val="12"/>
        </w:numPr>
        <w:rPr>
          <w:del w:id="24" w:author="Lambert, Benjamin C" w:date="2019-10-12T19:13:00Z"/>
          <w:rFonts w:ascii="Times New Roman" w:hAnsi="Times New Roman"/>
          <w:color w:val="0070C0"/>
          <w:sz w:val="24"/>
          <w:shd w:val="clear" w:color="auto" w:fill="FFFFFF"/>
        </w:rPr>
      </w:pPr>
      <w:del w:id="25" w:author="Lambert, Benjamin C" w:date="2019-10-12T19:13:00Z">
        <w:r w:rsidRPr="00C20086" w:rsidDel="006E68DC">
          <w:rPr>
            <w:rFonts w:ascii="Times New Roman" w:hAnsi="Times New Roman"/>
            <w:color w:val="00B050"/>
            <w:sz w:val="24"/>
            <w:shd w:val="clear" w:color="auto" w:fill="FFFFFF"/>
          </w:rPr>
          <w:delText>Extension to the method</w:delText>
        </w:r>
        <w:r w:rsidR="00637F02" w:rsidDel="006E68DC">
          <w:rPr>
            <w:rFonts w:ascii="Times New Roman" w:hAnsi="Times New Roman"/>
            <w:color w:val="00B050"/>
            <w:sz w:val="24"/>
            <w:shd w:val="clear" w:color="auto" w:fill="FFFFFF"/>
          </w:rPr>
          <w:delText xml:space="preserve"> to higher dimensions</w:delText>
        </w:r>
        <w:r w:rsidRPr="00C20086" w:rsidDel="006E68DC">
          <w:rPr>
            <w:rFonts w:ascii="Times New Roman" w:hAnsi="Times New Roman"/>
            <w:color w:val="00B050"/>
            <w:sz w:val="24"/>
            <w:shd w:val="clear" w:color="auto" w:fill="FFFFFF"/>
          </w:rPr>
          <w:delText xml:space="preserve"> can be found in Butler, Estep and Tavener</w:delText>
        </w:r>
        <w:r w:rsidR="00637F02" w:rsidDel="006E68DC">
          <w:rPr>
            <w:rFonts w:ascii="Times New Roman" w:hAnsi="Times New Roman"/>
            <w:color w:val="00B050"/>
            <w:sz w:val="24"/>
            <w:shd w:val="clear" w:color="auto" w:fill="FFFFFF"/>
          </w:rPr>
          <w:delText xml:space="preserve"> (2014). We have added this reference. </w:delText>
        </w:r>
        <w:r w:rsidR="00FC4875" w:rsidRPr="00FC4875" w:rsidDel="006E68DC">
          <w:rPr>
            <w:rFonts w:ascii="Times New Roman" w:hAnsi="Times New Roman"/>
            <w:color w:val="0070C0"/>
            <w:sz w:val="24"/>
            <w:shd w:val="clear" w:color="auto" w:fill="FFFFFF"/>
          </w:rPr>
          <w:delText>The general case is considered in \cite{butler2014solving}.</w:delText>
        </w:r>
      </w:del>
    </w:p>
    <w:p w14:paraId="52E0FC44" w14:textId="06EB3FA8" w:rsidR="006E68DC" w:rsidRPr="00FC4875" w:rsidRDefault="006E68DC" w:rsidP="00FC4875">
      <w:pPr>
        <w:pStyle w:val="ListParagraph"/>
        <w:numPr>
          <w:ilvl w:val="0"/>
          <w:numId w:val="12"/>
        </w:numPr>
        <w:rPr>
          <w:ins w:id="26" w:author="Lambert, Benjamin C" w:date="2019-10-12T19:13:00Z"/>
          <w:rFonts w:ascii="Times New Roman" w:hAnsi="Times New Roman"/>
          <w:color w:val="0070C0"/>
          <w:sz w:val="24"/>
          <w:shd w:val="clear" w:color="auto" w:fill="FFFFFF"/>
        </w:rPr>
      </w:pPr>
      <w:ins w:id="27" w:author="Lambert, Benjamin C" w:date="2019-10-12T19:15:00Z">
        <w:r>
          <w:rPr>
            <w:rFonts w:ascii="Times New Roman" w:hAnsi="Times New Roman"/>
            <w:color w:val="0070C0"/>
            <w:sz w:val="24"/>
            <w:shd w:val="clear" w:color="auto" w:fill="FFFFFF"/>
          </w:rPr>
          <w:t xml:space="preserve">Our method is general to </w:t>
        </w:r>
        <w:r>
          <w:rPr>
            <w:rFonts w:ascii="Times New Roman" w:hAnsi="Times New Roman"/>
            <w:i/>
            <w:iCs/>
            <w:color w:val="0070C0"/>
            <w:sz w:val="24"/>
            <w:shd w:val="clear" w:color="auto" w:fill="FFFFFF"/>
          </w:rPr>
          <w:t>any</w:t>
        </w:r>
        <w:r>
          <w:rPr>
            <w:rFonts w:ascii="Times New Roman" w:hAnsi="Times New Roman"/>
            <w:color w:val="0070C0"/>
            <w:sz w:val="24"/>
            <w:shd w:val="clear" w:color="auto" w:fill="FFFFFF"/>
          </w:rPr>
          <w:t xml:space="preserve"> m &lt; p. </w:t>
        </w:r>
      </w:ins>
      <w:ins w:id="28" w:author="Lambert, Benjamin C" w:date="2019-10-12T19:16:00Z">
        <w:r w:rsidR="00920770">
          <w:rPr>
            <w:rFonts w:ascii="Times New Roman" w:hAnsi="Times New Roman"/>
            <w:color w:val="0070C0"/>
            <w:sz w:val="24"/>
            <w:shd w:val="clear" w:color="auto" w:fill="FFFFFF"/>
          </w:rPr>
          <w:t xml:space="preserve">The </w:t>
        </w:r>
      </w:ins>
      <w:ins w:id="29" w:author="Lambert, Benjamin C" w:date="2019-10-12T19:17:00Z">
        <w:r w:rsidR="00920770">
          <w:rPr>
            <w:rFonts w:ascii="Times New Roman" w:hAnsi="Times New Roman"/>
            <w:color w:val="0070C0"/>
            <w:sz w:val="24"/>
            <w:shd w:val="clear" w:color="auto" w:fill="FFFFFF"/>
          </w:rPr>
          <w:t xml:space="preserve">examples we give are not considering m and p – rather, they are explaining </w:t>
        </w:r>
      </w:ins>
      <w:ins w:id="30" w:author="Lambert, Benjamin C" w:date="2019-10-12T19:23:00Z">
        <w:r w:rsidR="004C7C65">
          <w:rPr>
            <w:rFonts w:ascii="Times New Roman" w:hAnsi="Times New Roman"/>
            <w:color w:val="0070C0"/>
            <w:sz w:val="24"/>
            <w:shd w:val="clear" w:color="auto" w:fill="FFFFFF"/>
          </w:rPr>
          <w:t>how the dimensionality of output contours varies when considering a single QOI</w:t>
        </w:r>
      </w:ins>
      <w:ins w:id="31" w:author="Lambert, Benjamin C" w:date="2019-10-12T19:17:00Z">
        <w:r w:rsidR="00920770">
          <w:rPr>
            <w:rFonts w:ascii="Times New Roman" w:hAnsi="Times New Roman"/>
            <w:color w:val="0070C0"/>
            <w:sz w:val="24"/>
            <w:shd w:val="clear" w:color="auto" w:fill="FFFFFF"/>
          </w:rPr>
          <w:t xml:space="preserve">. </w:t>
        </w:r>
      </w:ins>
      <w:ins w:id="32" w:author="Lambert, Benjamin C" w:date="2019-10-12T19:24:00Z">
        <w:r w:rsidR="004C7C65">
          <w:rPr>
            <w:rFonts w:ascii="Times New Roman" w:hAnsi="Times New Roman"/>
            <w:color w:val="0070C0"/>
            <w:sz w:val="24"/>
            <w:shd w:val="clear" w:color="auto" w:fill="FFFFFF"/>
          </w:rPr>
          <w:t>This latter point was missing before, so we have now added, “</w:t>
        </w:r>
        <w:r w:rsidR="004C7C65" w:rsidRPr="004C7C65">
          <w:rPr>
            <w:rFonts w:ascii="Times New Roman" w:hAnsi="Times New Roman"/>
            <w:color w:val="0070C0"/>
            <w:sz w:val="24"/>
            <w:shd w:val="clear" w:color="auto" w:fill="FFFFFF"/>
          </w:rPr>
          <w:t>Considering cases with a single QOI:</w:t>
        </w:r>
        <w:r w:rsidR="004C7C65">
          <w:rPr>
            <w:rFonts w:ascii="Times New Roman" w:hAnsi="Times New Roman"/>
            <w:color w:val="0070C0"/>
            <w:sz w:val="24"/>
            <w:shd w:val="clear" w:color="auto" w:fill="FFFFFF"/>
          </w:rPr>
          <w:t>” to the discussion</w:t>
        </w:r>
        <w:r w:rsidR="00873D97">
          <w:rPr>
            <w:rFonts w:ascii="Times New Roman" w:hAnsi="Times New Roman"/>
            <w:color w:val="0070C0"/>
            <w:sz w:val="24"/>
            <w:shd w:val="clear" w:color="auto" w:fill="FFFFFF"/>
          </w:rPr>
          <w:t>.</w:t>
        </w:r>
      </w:ins>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Eq.(8) - </w:t>
      </w:r>
      <w:r w:rsidR="007304CD">
        <w:rPr>
          <w:rFonts w:ascii="Times New Roman" w:hAnsi="Times New Roman"/>
          <w:color w:val="222222"/>
          <w:sz w:val="24"/>
          <w:shd w:val="clear" w:color="auto" w:fill="FFFFFF"/>
        </w:rPr>
        <w:t>(9) etc: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Page 15: These discussions on sensitivity and experiment design are all relevant and legitimate but fail to account for literature treating these points (and for exp. design, the </w:t>
      </w:r>
      <w:r w:rsidRPr="00D55E29">
        <w:rPr>
          <w:rFonts w:ascii="Times New Roman" w:hAnsi="Times New Roman"/>
          <w:color w:val="222222"/>
          <w:sz w:val="24"/>
          <w:shd w:val="clear" w:color="auto" w:fill="FFFFFF"/>
        </w:rPr>
        <w:lastRenderedPageBreak/>
        <w:t>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05CB0648" w14:textId="59D510FA" w:rsidR="00C20086" w:rsidRPr="00C8010F" w:rsidRDefault="00C64A8C" w:rsidP="005357FD">
      <w:pPr>
        <w:pStyle w:val="ListParagraph"/>
        <w:rPr>
          <w:rFonts w:ascii="Times New Roman" w:hAnsi="Times New Roman"/>
          <w:color w:val="222222"/>
          <w:sz w:val="24"/>
          <w:shd w:val="clear" w:color="auto" w:fill="FFFFFF"/>
        </w:rPr>
      </w:pPr>
      <w:r w:rsidRPr="00C8010F">
        <w:rPr>
          <w:rFonts w:ascii="Times New Roman" w:hAnsi="Times New Roman"/>
          <w:color w:val="222222"/>
          <w:sz w:val="24"/>
        </w:rPr>
        <w:br/>
      </w:r>
      <w:r w:rsidRPr="00C8010F">
        <w:rPr>
          <w:rFonts w:ascii="Times New Roman" w:hAnsi="Times New Roman"/>
          <w:color w:val="222222"/>
          <w:sz w:val="24"/>
          <w:shd w:val="clear" w:color="auto" w:fill="FFFFFF"/>
        </w:rPr>
        <w:t>- Results section: In none of the examples parameter posteriors are visually compared with their actual distributions to be recovered (unfortunately, these distributions are in fact not even defined in most examples)</w:t>
      </w:r>
    </w:p>
    <w:p w14:paraId="5BCBB819" w14:textId="77777777" w:rsidR="00C20086" w:rsidRDefault="00C20086" w:rsidP="00D55E29">
      <w:pPr>
        <w:rPr>
          <w:rFonts w:ascii="Times New Roman" w:hAnsi="Times New Roman"/>
          <w:color w:val="222222"/>
          <w:sz w:val="24"/>
          <w:shd w:val="clear" w:color="auto" w:fill="FFFFFF"/>
        </w:rPr>
      </w:pPr>
    </w:p>
    <w:p w14:paraId="31626C80" w14:textId="26841A13" w:rsidR="00C20086" w:rsidRPr="005357FD" w:rsidRDefault="001B18F7" w:rsidP="00C20086">
      <w:pPr>
        <w:pStyle w:val="ListParagraph"/>
        <w:numPr>
          <w:ilvl w:val="0"/>
          <w:numId w:val="12"/>
        </w:numPr>
        <w:rPr>
          <w:rFonts w:ascii="Times New Roman" w:hAnsi="Times New Roman"/>
          <w:color w:val="00B050"/>
          <w:sz w:val="24"/>
          <w:highlight w:val="yellow"/>
          <w:shd w:val="clear" w:color="auto" w:fill="FFFFFF"/>
        </w:rPr>
      </w:pPr>
      <w:r w:rsidRPr="005357FD">
        <w:rPr>
          <w:rFonts w:ascii="Times New Roman" w:hAnsi="Times New Roman"/>
          <w:color w:val="00B050"/>
          <w:sz w:val="24"/>
          <w:highlight w:val="yellow"/>
          <w:shd w:val="clear" w:color="auto" w:fill="FFFFFF"/>
        </w:rPr>
        <w:t>See additional discussion, following figure 6</w:t>
      </w:r>
    </w:p>
    <w:p w14:paraId="153F5440"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4.1.2</w:t>
      </w:r>
      <w:r w:rsidR="00C20086">
        <w:rPr>
          <w:rFonts w:ascii="Times New Roman" w:hAnsi="Times New Roman"/>
          <w:color w:val="222222"/>
          <w:sz w:val="24"/>
          <w:shd w:val="clear" w:color="auto" w:fill="FFFFFF"/>
        </w:rPr>
        <w:t xml:space="preserve">: First paragraph is redundant </w:t>
      </w:r>
      <w:r w:rsidRPr="00D55E29">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Discussion: The mentioned approaches for stochastic dynamics that you claim being </w:t>
      </w:r>
      <w:r w:rsidRPr="00D55E29">
        <w:rPr>
          <w:rFonts w:ascii="Times New Roman" w:hAnsi="Times New Roman"/>
          <w:color w:val="222222"/>
          <w:sz w:val="24"/>
          <w:shd w:val="clear" w:color="auto" w:fill="FFFFFF"/>
        </w:rPr>
        <w:lastRenderedPageBreak/>
        <w:t>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59815" w14:textId="77777777" w:rsidR="00F25F83" w:rsidRDefault="00F25F83">
      <w:r>
        <w:separator/>
      </w:r>
    </w:p>
  </w:endnote>
  <w:endnote w:type="continuationSeparator" w:id="0">
    <w:p w14:paraId="5E1BBCD4" w14:textId="77777777" w:rsidR="00F25F83" w:rsidRDefault="00F2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8C56" w14:textId="77777777" w:rsidR="00F25F83" w:rsidRDefault="00F25F83">
      <w:r>
        <w:separator/>
      </w:r>
    </w:p>
  </w:footnote>
  <w:footnote w:type="continuationSeparator" w:id="0">
    <w:p w14:paraId="73AD0144" w14:textId="77777777" w:rsidR="00F25F83" w:rsidRDefault="00F25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22"/>
    <w:rsid w:val="000013EB"/>
    <w:rsid w:val="000015A7"/>
    <w:rsid w:val="00001E96"/>
    <w:rsid w:val="0001463B"/>
    <w:rsid w:val="0002576A"/>
    <w:rsid w:val="0002625B"/>
    <w:rsid w:val="000264A5"/>
    <w:rsid w:val="00033F84"/>
    <w:rsid w:val="00034A9D"/>
    <w:rsid w:val="00035C96"/>
    <w:rsid w:val="00036D70"/>
    <w:rsid w:val="00041B49"/>
    <w:rsid w:val="0004300C"/>
    <w:rsid w:val="00051100"/>
    <w:rsid w:val="000527F8"/>
    <w:rsid w:val="00054DE7"/>
    <w:rsid w:val="00066A8A"/>
    <w:rsid w:val="000A1B8C"/>
    <w:rsid w:val="000A55AB"/>
    <w:rsid w:val="000B6D70"/>
    <w:rsid w:val="000C3053"/>
    <w:rsid w:val="000D50ED"/>
    <w:rsid w:val="000E1954"/>
    <w:rsid w:val="000E3679"/>
    <w:rsid w:val="000E41F8"/>
    <w:rsid w:val="000E4F60"/>
    <w:rsid w:val="000F0D46"/>
    <w:rsid w:val="000F122F"/>
    <w:rsid w:val="000F4093"/>
    <w:rsid w:val="0010185C"/>
    <w:rsid w:val="001108EB"/>
    <w:rsid w:val="00111874"/>
    <w:rsid w:val="0012360C"/>
    <w:rsid w:val="0013270B"/>
    <w:rsid w:val="001408B4"/>
    <w:rsid w:val="00152428"/>
    <w:rsid w:val="001613A1"/>
    <w:rsid w:val="00163FAF"/>
    <w:rsid w:val="00167146"/>
    <w:rsid w:val="00173501"/>
    <w:rsid w:val="001A21C8"/>
    <w:rsid w:val="001A2AF9"/>
    <w:rsid w:val="001B18F7"/>
    <w:rsid w:val="001D5BFA"/>
    <w:rsid w:val="001E3637"/>
    <w:rsid w:val="001E3EEA"/>
    <w:rsid w:val="001F27EB"/>
    <w:rsid w:val="001F460E"/>
    <w:rsid w:val="001F53DF"/>
    <w:rsid w:val="001F72A2"/>
    <w:rsid w:val="002100D2"/>
    <w:rsid w:val="00224355"/>
    <w:rsid w:val="00225C97"/>
    <w:rsid w:val="00234444"/>
    <w:rsid w:val="002630F2"/>
    <w:rsid w:val="00264727"/>
    <w:rsid w:val="00270232"/>
    <w:rsid w:val="00277B2C"/>
    <w:rsid w:val="00280942"/>
    <w:rsid w:val="00292329"/>
    <w:rsid w:val="0029507F"/>
    <w:rsid w:val="002A383D"/>
    <w:rsid w:val="002A5D2C"/>
    <w:rsid w:val="002B7E93"/>
    <w:rsid w:val="002C318B"/>
    <w:rsid w:val="002D06E2"/>
    <w:rsid w:val="002D0B1A"/>
    <w:rsid w:val="002D17DE"/>
    <w:rsid w:val="002D41D6"/>
    <w:rsid w:val="002E38CC"/>
    <w:rsid w:val="0031087C"/>
    <w:rsid w:val="00316E93"/>
    <w:rsid w:val="0032636C"/>
    <w:rsid w:val="00335994"/>
    <w:rsid w:val="00335BAC"/>
    <w:rsid w:val="003409C0"/>
    <w:rsid w:val="00345D20"/>
    <w:rsid w:val="0034613A"/>
    <w:rsid w:val="00346192"/>
    <w:rsid w:val="00356B75"/>
    <w:rsid w:val="00382983"/>
    <w:rsid w:val="00384254"/>
    <w:rsid w:val="003846E6"/>
    <w:rsid w:val="0039271C"/>
    <w:rsid w:val="00393670"/>
    <w:rsid w:val="003A14CA"/>
    <w:rsid w:val="003A24E0"/>
    <w:rsid w:val="003A48BF"/>
    <w:rsid w:val="003A4F15"/>
    <w:rsid w:val="003C2E97"/>
    <w:rsid w:val="003E0E0F"/>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B0C7A"/>
    <w:rsid w:val="004B3DD9"/>
    <w:rsid w:val="004B6C50"/>
    <w:rsid w:val="004C1100"/>
    <w:rsid w:val="004C1C2F"/>
    <w:rsid w:val="004C525C"/>
    <w:rsid w:val="004C7C65"/>
    <w:rsid w:val="004D296C"/>
    <w:rsid w:val="004D467F"/>
    <w:rsid w:val="004E1150"/>
    <w:rsid w:val="004E2972"/>
    <w:rsid w:val="004E4624"/>
    <w:rsid w:val="004F77C3"/>
    <w:rsid w:val="00501D11"/>
    <w:rsid w:val="00510EAB"/>
    <w:rsid w:val="00524932"/>
    <w:rsid w:val="005357FD"/>
    <w:rsid w:val="00537A9A"/>
    <w:rsid w:val="0056394D"/>
    <w:rsid w:val="00573D1C"/>
    <w:rsid w:val="00591872"/>
    <w:rsid w:val="005A339C"/>
    <w:rsid w:val="005B291A"/>
    <w:rsid w:val="005B5BF4"/>
    <w:rsid w:val="005C1807"/>
    <w:rsid w:val="005E416A"/>
    <w:rsid w:val="005F09F0"/>
    <w:rsid w:val="006131DD"/>
    <w:rsid w:val="00613661"/>
    <w:rsid w:val="006153A2"/>
    <w:rsid w:val="0063074B"/>
    <w:rsid w:val="00637F02"/>
    <w:rsid w:val="006433BC"/>
    <w:rsid w:val="00645E1E"/>
    <w:rsid w:val="00652C83"/>
    <w:rsid w:val="0065364B"/>
    <w:rsid w:val="00653D1F"/>
    <w:rsid w:val="00655BE0"/>
    <w:rsid w:val="006654C9"/>
    <w:rsid w:val="006664CF"/>
    <w:rsid w:val="0068441D"/>
    <w:rsid w:val="0069229E"/>
    <w:rsid w:val="006B05A5"/>
    <w:rsid w:val="006B5158"/>
    <w:rsid w:val="006C043E"/>
    <w:rsid w:val="006E165E"/>
    <w:rsid w:val="006E68DC"/>
    <w:rsid w:val="00706467"/>
    <w:rsid w:val="00715F93"/>
    <w:rsid w:val="0072458D"/>
    <w:rsid w:val="00726C6E"/>
    <w:rsid w:val="007304CD"/>
    <w:rsid w:val="0073334F"/>
    <w:rsid w:val="007433F0"/>
    <w:rsid w:val="0075642E"/>
    <w:rsid w:val="007645E7"/>
    <w:rsid w:val="00766ED8"/>
    <w:rsid w:val="00772DDD"/>
    <w:rsid w:val="007756AC"/>
    <w:rsid w:val="00787249"/>
    <w:rsid w:val="00791322"/>
    <w:rsid w:val="007B532A"/>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73D97"/>
    <w:rsid w:val="0088079B"/>
    <w:rsid w:val="008A72FA"/>
    <w:rsid w:val="008B233D"/>
    <w:rsid w:val="008B5CD0"/>
    <w:rsid w:val="008C3D24"/>
    <w:rsid w:val="008C7A90"/>
    <w:rsid w:val="008C7D16"/>
    <w:rsid w:val="008E32DF"/>
    <w:rsid w:val="008E4E37"/>
    <w:rsid w:val="009124AC"/>
    <w:rsid w:val="00915BF2"/>
    <w:rsid w:val="00915F57"/>
    <w:rsid w:val="00917FBD"/>
    <w:rsid w:val="00920770"/>
    <w:rsid w:val="009209FD"/>
    <w:rsid w:val="009249D6"/>
    <w:rsid w:val="009452B9"/>
    <w:rsid w:val="0095181A"/>
    <w:rsid w:val="00954888"/>
    <w:rsid w:val="00956F2D"/>
    <w:rsid w:val="00981D14"/>
    <w:rsid w:val="0098447E"/>
    <w:rsid w:val="00986D9B"/>
    <w:rsid w:val="00992527"/>
    <w:rsid w:val="009A2597"/>
    <w:rsid w:val="009A7CF1"/>
    <w:rsid w:val="009B4F76"/>
    <w:rsid w:val="009B5B32"/>
    <w:rsid w:val="009C09C8"/>
    <w:rsid w:val="009C71C1"/>
    <w:rsid w:val="009E2297"/>
    <w:rsid w:val="009E5B57"/>
    <w:rsid w:val="00A070D5"/>
    <w:rsid w:val="00A2368E"/>
    <w:rsid w:val="00A34B89"/>
    <w:rsid w:val="00A4716D"/>
    <w:rsid w:val="00A5243C"/>
    <w:rsid w:val="00A52B12"/>
    <w:rsid w:val="00A66F76"/>
    <w:rsid w:val="00A73DD8"/>
    <w:rsid w:val="00A95455"/>
    <w:rsid w:val="00AA13A6"/>
    <w:rsid w:val="00AA6CF8"/>
    <w:rsid w:val="00AA7214"/>
    <w:rsid w:val="00AB143D"/>
    <w:rsid w:val="00AB17BB"/>
    <w:rsid w:val="00AC2260"/>
    <w:rsid w:val="00AD1FA3"/>
    <w:rsid w:val="00AF1693"/>
    <w:rsid w:val="00AF3922"/>
    <w:rsid w:val="00B038F7"/>
    <w:rsid w:val="00B30583"/>
    <w:rsid w:val="00B37412"/>
    <w:rsid w:val="00B60F20"/>
    <w:rsid w:val="00B64A0F"/>
    <w:rsid w:val="00B70B40"/>
    <w:rsid w:val="00B7327A"/>
    <w:rsid w:val="00B8687B"/>
    <w:rsid w:val="00BA0EF6"/>
    <w:rsid w:val="00BA4622"/>
    <w:rsid w:val="00BB07D5"/>
    <w:rsid w:val="00BB396D"/>
    <w:rsid w:val="00BD5AB6"/>
    <w:rsid w:val="00BD5C0B"/>
    <w:rsid w:val="00BE1BC8"/>
    <w:rsid w:val="00BF3C3A"/>
    <w:rsid w:val="00C01BC0"/>
    <w:rsid w:val="00C05B58"/>
    <w:rsid w:val="00C12EFE"/>
    <w:rsid w:val="00C17ABE"/>
    <w:rsid w:val="00C20086"/>
    <w:rsid w:val="00C30145"/>
    <w:rsid w:val="00C3686D"/>
    <w:rsid w:val="00C43FAD"/>
    <w:rsid w:val="00C64A8C"/>
    <w:rsid w:val="00C64DD1"/>
    <w:rsid w:val="00C658BB"/>
    <w:rsid w:val="00C8010F"/>
    <w:rsid w:val="00C82C76"/>
    <w:rsid w:val="00CB28CE"/>
    <w:rsid w:val="00CD195C"/>
    <w:rsid w:val="00CD6FA1"/>
    <w:rsid w:val="00CF631C"/>
    <w:rsid w:val="00D125D0"/>
    <w:rsid w:val="00D21816"/>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27EA4"/>
    <w:rsid w:val="00E34466"/>
    <w:rsid w:val="00E37F7F"/>
    <w:rsid w:val="00E41A5B"/>
    <w:rsid w:val="00E44C74"/>
    <w:rsid w:val="00E50D56"/>
    <w:rsid w:val="00E55E2C"/>
    <w:rsid w:val="00E65546"/>
    <w:rsid w:val="00E65991"/>
    <w:rsid w:val="00E74583"/>
    <w:rsid w:val="00E76382"/>
    <w:rsid w:val="00E8083B"/>
    <w:rsid w:val="00E85459"/>
    <w:rsid w:val="00EA483E"/>
    <w:rsid w:val="00EA4BD7"/>
    <w:rsid w:val="00EB3DAE"/>
    <w:rsid w:val="00EC350D"/>
    <w:rsid w:val="00EC58F1"/>
    <w:rsid w:val="00EC7FF7"/>
    <w:rsid w:val="00ED52A3"/>
    <w:rsid w:val="00ED5E4C"/>
    <w:rsid w:val="00EE590B"/>
    <w:rsid w:val="00EF0DE9"/>
    <w:rsid w:val="00EF782D"/>
    <w:rsid w:val="00F02644"/>
    <w:rsid w:val="00F0752B"/>
    <w:rsid w:val="00F10397"/>
    <w:rsid w:val="00F161BC"/>
    <w:rsid w:val="00F25F83"/>
    <w:rsid w:val="00F568F2"/>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13</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210</cp:revision>
  <cp:lastPrinted>2016-10-21T11:45:00Z</cp:lastPrinted>
  <dcterms:created xsi:type="dcterms:W3CDTF">2019-10-08T17:43:00Z</dcterms:created>
  <dcterms:modified xsi:type="dcterms:W3CDTF">2019-10-12T19:04:00Z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