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Per-study information by study design: derivation</w:t>
      </w:r>
    </w:p>
    <w:p>
      <w:pPr>
        <w:pStyle w:val="Subtitle"/>
      </w:pPr>
      <w:r>
        <w:t xml:space="preserve">Supporting the exchange-rate panel (category U) of the metadid simulation study</w:t>
      </w:r>
    </w:p>
    <w:bookmarkStart w:id="20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note derives, from first principles, the quantity plotted in the</w:t>
      </w:r>
      <w:r>
        <w:t xml:space="preserve"> </w:t>
      </w:r>
      <w:r>
        <w:t xml:space="preserve">exchange-rate panel:</w:t>
      </w:r>
      <w:r>
        <w:t xml:space="preserve"> </w:t>
      </w:r>
      <w:r>
        <w:rPr>
          <w:b/>
          <w:bCs/>
        </w:rPr>
        <w:t xml:space="preserve">how much information about the population treatment</w:t>
      </w:r>
      <w:r>
        <w:rPr>
          <w:b/>
          <w:bCs/>
        </w:rPr>
        <w:t xml:space="preserve"> </w:t>
      </w:r>
      <w:r>
        <w:rPr>
          <w:b/>
          <w:bCs/>
        </w:rPr>
        <w:t xml:space="preserve">effect one study of a given design contributes, relative to one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difference-in-differences (DiD) study.</w:t>
      </w:r>
    </w:p>
    <w:p>
      <w:pPr>
        <w:pStyle w:val="BodyText"/>
      </w:pPr>
      <w:r>
        <w:t xml:space="preserve">Three nested expressions are derived: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sampling-variance ratio</w:t>
      </w:r>
      <w:r>
        <w:t xml:space="preserve">, assuming no between-study heterogeneity and</w:t>
      </w:r>
      <w:r>
        <w:t xml:space="preserve"> </w:t>
      </w:r>
      <w:r>
        <w:t xml:space="preserve">a known nuisance parameter;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heterogeneity-adjusted ratio</w:t>
      </w:r>
      <w:r>
        <w:t xml:space="preserve">, which adds between-study variation in</w:t>
      </w:r>
      <w:r>
        <w:t xml:space="preserve"> </w:t>
      </w:r>
      <w:r>
        <w:t xml:space="preserve">the true effect;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identification-adjusted ratio</w:t>
      </w:r>
      <w:r>
        <w:t xml:space="preserve">, which additionally charges each</w:t>
      </w:r>
      <w:r>
        <w:t xml:space="preserve"> </w:t>
      </w:r>
      <w:r>
        <w:t xml:space="preserve">incomplete design for the fact that its nuisance parameter must be estimated</w:t>
      </w:r>
      <w:r>
        <w:t xml:space="preserve"> </w:t>
      </w:r>
      <w:r>
        <w:t xml:space="preserve">from the DiD studies rather than known.</w:t>
      </w:r>
    </w:p>
    <w:p>
      <w:pPr>
        <w:pStyle w:val="FirstParagraph"/>
      </w:pPr>
      <w:r>
        <w:t xml:space="preserve">Expression 3 is the one compared against simulation. Every step is stated</w:t>
      </w:r>
      <w:r>
        <w:t xml:space="preserve"> </w:t>
      </w:r>
      <w:r>
        <w:t xml:space="preserve">explicitly, and Section 8 enumerates the assumptions with the consequence of</w:t>
      </w:r>
      <w:r>
        <w:t xml:space="preserve"> </w:t>
      </w:r>
      <w:r>
        <w:t xml:space="preserve">each failing.</w:t>
      </w:r>
    </w:p>
    <w:p>
      <w:pPr>
        <w:pStyle w:val="BodyText"/>
      </w:pPr>
      <w:r>
        <w:t xml:space="preserve">Throughout,</w:t>
      </w:r>
      <w:r>
        <w:t xml:space="preserve"> </w:t>
      </w:r>
      <w:r>
        <w:t xml:space="preserve">“information”</w:t>
      </w:r>
      <w:r>
        <w:t xml:space="preserve"> </w:t>
      </w:r>
      <w:r>
        <w:t xml:space="preserve">means Fisher information about the population mean</w:t>
      </w:r>
      <w:r>
        <w:t xml:space="preserve"> </w:t>
      </w:r>
      <w:r>
        <w:t xml:space="preserve">effect, i.e. the reciprocal of the sampling variance of its estimator. All</w:t>
      </w:r>
      <w:r>
        <w:t xml:space="preserve"> </w:t>
      </w:r>
      <w:r>
        <w:t xml:space="preserve">results are per study.</w:t>
      </w:r>
    </w:p>
    <w:bookmarkEnd w:id="20"/>
    <w:bookmarkStart w:id="21" w:name="notation"/>
    <w:p>
      <w:pPr>
        <w:pStyle w:val="Heading1"/>
      </w:pPr>
      <w:r>
        <w:t xml:space="preserve">2. Notation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t xml:space="preserve">within-study, between-subject SD of the outcome at one time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within_sd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</w:pPr>
            <w:r>
              <w:t xml:space="preserve">within-subject correlation between the pre and post 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subjects per 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n_treatment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true treatment effect in study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τ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mean and SD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across studies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true_effect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sigma_effect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secular (time) trend in study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β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τ</m:t>
                  </m:r>
                </m:e>
                <m:sub>
                  <m:r>
                    <m:t>β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mean and SD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across studies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true_trend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sigma_trend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γ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baseline difference between arms in study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γ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SD of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across studies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number of DiD studies in the anchor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U_CORE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number of studies added, of a single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U_ADD</w:t>
            </w:r>
          </w:p>
        </w:tc>
      </w:tr>
    </w:tbl>
    <w:bookmarkEnd w:id="21"/>
    <w:bookmarkStart w:id="22" w:name="the-data-generating-process"/>
    <w:p>
      <w:pPr>
        <w:pStyle w:val="Heading1"/>
      </w:pPr>
      <w:r>
        <w:t xml:space="preserve">3. The data-generating process</w:t>
      </w:r>
    </w:p>
    <w:p>
      <w:pPr>
        <w:pStyle w:val="FirstParagraph"/>
      </w:pPr>
      <w:r>
        <w:t xml:space="preserve">Taken directly from</w:t>
      </w:r>
      <w:r>
        <w:t xml:space="preserve"> </w:t>
      </w:r>
      <w:r>
        <w:rPr>
          <w:rStyle w:val="VerbatimChar"/>
        </w:rPr>
        <w:t xml:space="preserve">R/simulate.R</w:t>
      </w:r>
      <w:r>
        <w:t xml:space="preserve">. Each subject contributes a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nor/>
                    <m:sty m:val="p"/>
                  </m:rPr>
                  <m:t>pre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nor/>
                    <m:sty m:val="p"/>
                  </m:rPr>
                  <m:t>post</m:t>
                </m:r>
              </m:sub>
            </m:sSub>
          </m:e>
        </m:d>
      </m:oMath>
      <w:r>
        <w:t xml:space="preserve"> </w:t>
      </w:r>
      <w:r>
        <w:t xml:space="preserve">drawn from a bivariate normal: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post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∼</m:t>
          </m:r>
          <m: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arm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Σ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ρ</m:t>
                    </m:r>
                  </m:e>
                </m:mr>
                <m:mr>
                  <m:e>
                    <m:r>
                      <m:t>ρ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with arm means (</w:t>
      </w:r>
      <w:r>
        <w:rPr>
          <w:rStyle w:val="VerbatimChar"/>
        </w:rPr>
        <w:t xml:space="preserve">simulate_one_study</w:t>
      </w:r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μ</m:t>
              </m:r>
            </m:e>
            <m:sub>
              <m:r>
                <m:rPr>
                  <m:nor/>
                  <m:sty m:val="p"/>
                </m:rPr>
                <m:t>control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μ</m:t>
              </m:r>
            </m:e>
            <m:sub>
              <m:r>
                <m:rPr>
                  <m:nor/>
                  <m:sty m:val="p"/>
                </m:rPr>
                <m:t>treatment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study baseline.</w:t>
      </w:r>
      <w:r>
        <w:t xml:space="preserve"> </w:t>
      </w:r>
      <w:r>
        <w:rPr>
          <w:b/>
          <w:bCs/>
        </w:rPr>
        <w:t xml:space="preserve">Both arms share the same pre-period mean</w:t>
      </w:r>
      <w:r>
        <w:t xml:space="preserve">,</w:t>
      </w:r>
      <w:r>
        <w:t xml:space="preserve"> </w:t>
      </w:r>
      <w:r>
        <w:t xml:space="preserve">so the true baseline difference is</w:t>
      </w:r>
      <w:r>
        <w:t xml:space="preserve"> </w:t>
      </w:r>
      <m:oMath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this DGP. The model does</w:t>
      </w:r>
      <w:r>
        <w:t xml:space="preserve"> </w:t>
      </w:r>
      <w:r>
        <w:t xml:space="preserve">not know this and still estimates a baseline-difference parameter; that</w:t>
      </w:r>
      <w:r>
        <w:t xml:space="preserve"> </w:t>
      </w:r>
      <w:r>
        <w:t xml:space="preserve">distinction matters in Section 6.</w:t>
      </w:r>
    </w:p>
    <w:p>
      <w:pPr>
        <w:pStyle w:val="BodyText"/>
      </w:pPr>
      <w:r>
        <w:t xml:space="preserve">The three designs differ only in which summaries are retained: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DiD</w:t>
      </w:r>
      <w:r>
        <w:t xml:space="preserve"> </w:t>
      </w:r>
      <w:r>
        <w:t xml:space="preserve">(</w:t>
      </w:r>
      <w:r>
        <w:rPr>
          <w:rStyle w:val="VerbatimChar"/>
        </w:rPr>
        <w:t xml:space="preserve">simulate_did_summary_from_params</w:t>
      </w:r>
      <w:r>
        <w:t xml:space="preserve">) — pre and post means for both arms.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Post-only RCT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make_rct_summary</w:t>
      </w:r>
      <w:r>
        <w:t xml:space="preserve">) — post means for both arms; no pre.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Pre-post, PP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make_pp_summary</w:t>
      </w:r>
      <w:r>
        <w:t xml:space="preserve">) — pre and post means for the treated arm only.</w:t>
      </w:r>
    </w:p>
    <w:bookmarkEnd w:id="22"/>
    <w:bookmarkStart w:id="28" w:name="step-1-per-study-sampling-variance"/>
    <w:p>
      <w:pPr>
        <w:pStyle w:val="Heading1"/>
      </w:pPr>
      <w:r>
        <w:t xml:space="preserve">4. Step 1 — per-study sampling variance</w:t>
      </w:r>
    </w:p>
    <w:bookmarkStart w:id="23" w:name="two-preliminary-results"/>
    <w:p>
      <w:pPr>
        <w:pStyle w:val="Heading2"/>
      </w:pPr>
      <w:r>
        <w:t xml:space="preserve">4.1 Two preliminary results</w:t>
      </w:r>
    </w:p>
    <w:p>
      <w:pPr>
        <w:pStyle w:val="FirstParagraph"/>
      </w:pPr>
      <w:r>
        <w:t xml:space="preserve">For an arm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subjects, the mean at a single time point has variance</w:t>
      </w:r>
      <w:r>
        <w:t xml:space="preserve"> </w:t>
      </w:r>
      <m:oMath>
        <m:r>
          <m:rPr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 and the two time points covary as</w:t>
      </w:r>
      <w:r>
        <w:t xml:space="preserve"> </w:t>
      </w:r>
      <m:oMath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pre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post</m:t>
                </m:r>
              </m:sub>
            </m:sSub>
          </m:e>
        </m:d>
        <m:r>
          <m:rPr>
            <m:sty m:val="p"/>
          </m:rPr>
          <m:t>=</m:t>
        </m:r>
        <m:r>
          <m:t>ρ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within-arm change score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rPr>
                <m:nor/>
                <m:sty m:val="p"/>
              </m:rPr>
              <m:t>post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rPr>
                <m:nor/>
                <m:sty m:val="p"/>
              </m:rPr>
              <m:t>pre</m:t>
            </m:r>
          </m:sub>
        </m:sSub>
      </m:oMath>
      <w:r>
        <w:t xml:space="preserve"> </w:t>
      </w:r>
      <w:r>
        <w:t xml:space="preserve">therefore has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ρ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only place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enters. A design that never differences across</w:t>
      </w:r>
      <w:r>
        <w:t xml:space="preserve"> </w:t>
      </w:r>
      <w:r>
        <w:t xml:space="preserve">time cannot benefit from it.</w:t>
      </w:r>
    </w:p>
    <w:bookmarkEnd w:id="23"/>
    <w:bookmarkStart w:id="24" w:name="difference-in-differences"/>
    <w:p>
      <w:pPr>
        <w:pStyle w:val="Heading2"/>
      </w:pPr>
      <w:r>
        <w:t xml:space="preserve">4.2 Difference-in-differences</w:t>
      </w:r>
    </w:p>
    <w:p>
      <w:pPr>
        <w:pStyle w:val="FirstParagraph"/>
      </w:pPr>
      <w:r>
        <w:t xml:space="preserve">The estimator is the difference of the two arms’ change scores,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t> </m:t>
            </m:r>
            <m:r>
              <m:rPr>
                <m:nor/>
                <m:sty m:val="p"/>
              </m:rPr>
              <m:t>DiD</m:t>
            </m:r>
          </m:sup>
        </m:sSup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t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c</m:t>
            </m:r>
          </m:sub>
        </m:sSub>
      </m:oMath>
      <w:r>
        <w:t xml:space="preserve">. Taking expectations,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 </m:t>
                  </m:r>
                  <m:r>
                    <m:rPr>
                      <m:nor/>
                      <m:sty m:val="p"/>
                    </m:rPr>
                    <m:t>DiD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The trend cancels exactly.</w:t>
      </w:r>
      <w:r>
        <w:t xml:space="preserve"> </w:t>
      </w:r>
      <w:r>
        <w:t xml:space="preserve">The control arm is an identification device: it</w:t>
      </w:r>
      <w:r>
        <w:t xml:space="preserve"> </w:t>
      </w:r>
      <w:r>
        <w:t xml:space="preserve">removes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contributes nothing to the point estimate of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 arms are independent, so by (4.1)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Sup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DiD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e>
                  </m:d>
                </m:num>
                <m:den>
                  <m:r>
                    <m:t>n</m:t>
                  </m:r>
                </m:den>
              </m:f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Note the control arm</w:t>
      </w:r>
      <w:r>
        <w:t xml:space="preserve"> </w:t>
      </w:r>
      <w:r>
        <w:rPr>
          <w:i/>
          <w:iCs/>
        </w:rPr>
        <w:t xml:space="preserve">adds</w:t>
      </w:r>
      <w:r>
        <w:t xml:space="preserve"> </w:t>
      </w:r>
      <w:r>
        <w:t xml:space="preserve">variance. DiD trades precision for identification.</w:t>
      </w:r>
    </w:p>
    <w:bookmarkEnd w:id="24"/>
    <w:bookmarkStart w:id="25" w:name="post-only-rct"/>
    <w:p>
      <w:pPr>
        <w:pStyle w:val="Heading2"/>
      </w:pPr>
      <w:r>
        <w:t xml:space="preserve">4.3 Post-only RCT</w:t>
      </w:r>
    </w:p>
    <w:p>
      <w:pPr>
        <w:pStyle w:val="FirstParagraph"/>
      </w:pPr>
      <w:r>
        <w:t xml:space="preserve">The estimator is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t> </m:t>
            </m:r>
            <m:r>
              <m:rPr>
                <m:nor/>
                <m:sty m:val="p"/>
              </m:rPr>
              <m:t>RCT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rPr>
                <m:nor/>
                <m:sty m:val="p"/>
              </m:rPr>
              <m:t>post,t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rPr>
                <m:nor/>
                <m:sty m:val="p"/>
              </m:rPr>
              <m:t>post,c</m:t>
            </m:r>
          </m:sub>
        </m:sSub>
      </m:oMath>
      <w:r>
        <w:t xml:space="preserve">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 </m:t>
                  </m:r>
                  <m:r>
                    <m:rPr>
                      <m:nor/>
                      <m:sty m:val="p"/>
                    </m:rPr>
                    <m:t>RCT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trend cancels here too (both arms are observed at the same time), but any</w:t>
      </w:r>
      <w:r>
        <w:t xml:space="preserve"> </w:t>
      </w:r>
      <w:r>
        <w:t xml:space="preserve">baseline imbalance</w:t>
      </w:r>
      <w:r>
        <w:t xml:space="preserve"> </w:t>
      </w:r>
      <m:oMath>
        <m:sSub>
          <m:e>
            <m:r>
              <m:t>γ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. Two independent means, no</w:t>
      </w:r>
      <w:r>
        <w:t xml:space="preserve"> </w:t>
      </w:r>
      <w:r>
        <w:t xml:space="preserve">differencing across time, so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never appears: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Sup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RCT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 </m:t>
              </m:r>
            </m:e>
          </m:borderBox>
        </m:oMath>
      </m:oMathPara>
    </w:p>
    <w:bookmarkEnd w:id="25"/>
    <w:bookmarkStart w:id="26" w:name="pre-post"/>
    <w:p>
      <w:pPr>
        <w:pStyle w:val="Heading2"/>
      </w:pPr>
      <w:r>
        <w:t xml:space="preserve">4.4 Pre-post</w:t>
      </w:r>
    </w:p>
    <w:p>
      <w:pPr>
        <w:pStyle w:val="FirstParagraph"/>
      </w:pPr>
      <w:r>
        <w:t xml:space="preserve">The estimator is the treated arm’s change score alone,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t> </m:t>
            </m:r>
            <m:r>
              <m:rPr>
                <m:nor/>
                <m:sty m:val="p"/>
              </m:rPr>
              <m:t>PP</m:t>
            </m:r>
          </m:sup>
        </m:sSup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t</m:t>
            </m:r>
          </m:sub>
        </m:sSub>
      </m:oMath>
      <w:r>
        <w:t xml:space="preserve">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 </m:t>
                  </m:r>
                  <m:r>
                    <m:rPr>
                      <m:nor/>
                      <m:sty m:val="p"/>
                    </m:rPr>
                    <m:t>PP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Nothing cancels the trend. Directly from (4.1),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Sup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PP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e>
                  </m:d>
                </m:num>
                <m:den>
                  <m:r>
                    <m:t>n</m:t>
                  </m:r>
                </m:den>
              </m:f>
              <m:r>
                <m:t> </m:t>
              </m:r>
            </m:e>
          </m:borderBox>
        </m:oMath>
      </m:oMathPara>
    </w:p>
    <w:bookmarkEnd w:id="26"/>
    <w:bookmarkStart w:id="27" w:name="immediate-consequences"/>
    <w:p>
      <w:pPr>
        <w:pStyle w:val="Heading2"/>
      </w:pPr>
      <w:r>
        <w:t xml:space="preserve">4.5 Immediate consequences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DiD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RCT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PP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m:oMath>
        <m:sSubSup>
          <m:e>
            <m:r>
              <m:t>s</m:t>
            </m:r>
          </m:e>
          <m:sub>
            <m:r>
              <m:rPr>
                <m:nor/>
                <m:sty m:val="p"/>
              </m:rPr>
              <m:t>PP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Sup>
          <m:e>
            <m:r>
              <m:t>s</m:t>
            </m:r>
          </m:e>
          <m:sub>
            <m:r>
              <m:rPr>
                <m:nor/>
                <m:sty m:val="p"/>
              </m:rPr>
              <m:t>DiD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b/>
          <w:bCs/>
        </w:rPr>
        <w:t xml:space="preserve">for every</w:t>
      </w:r>
      <w:r>
        <w:t xml:space="preserve"> </w:t>
      </w:r>
      <m:oMath>
        <m:r>
          <m:t>ρ</m:t>
        </m:r>
      </m:oMath>
      <w:r>
        <w:t xml:space="preserve">. A pre-post</w:t>
      </w:r>
      <w:r>
        <w:t xml:space="preserve"> </w:t>
      </w:r>
      <w:r>
        <w:t xml:space="preserve">study is twice as precise as a DiD study — it spends all its subjects on the</w:t>
      </w:r>
      <w:r>
        <w:t xml:space="preserve"> </w:t>
      </w:r>
      <w:r>
        <w:t xml:space="preserve">treated arm rather than half on an identification device.</w:t>
      </w:r>
    </w:p>
    <w:p>
      <w:pPr>
        <w:pStyle w:val="Compact"/>
        <w:numPr>
          <w:ilvl w:val="0"/>
          <w:numId w:val="1003"/>
        </w:numPr>
      </w:pPr>
      <m:oMath>
        <m:sSubSup>
          <m:e>
            <m:r>
              <m:t>s</m:t>
            </m:r>
          </m:e>
          <m:sub>
            <m:r>
              <m:rPr>
                <m:nor/>
                <m:sty m:val="p"/>
              </m:rPr>
              <m:t>RCT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rPr>
                <m:nor/>
                <m:sty m:val="p"/>
              </m:rPr>
              <m:t>DiD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exactly when</w:t>
      </w:r>
      <w:r>
        <w:t xml:space="preserve"> </w:t>
      </w:r>
      <m:oMath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 i.e.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Above that the DiD is more precise; below it the post-only RCT is.</w:t>
      </w:r>
    </w:p>
    <w:p>
      <w:pPr>
        <w:pStyle w:val="Compact"/>
        <w:numPr>
          <w:ilvl w:val="0"/>
          <w:numId w:val="1003"/>
        </w:numPr>
      </w:pPr>
      <w:r>
        <w:t xml:space="preserve">Per</w:t>
      </w:r>
      <w:r>
        <w:t xml:space="preserve"> </w:t>
      </w:r>
      <w:r>
        <w:rPr>
          <w:i/>
          <w:iCs/>
        </w:rPr>
        <w:t xml:space="preserve">subject</w:t>
      </w:r>
      <w:r>
        <w:t xml:space="preserve"> </w:t>
      </w:r>
      <w:r>
        <w:t xml:space="preserve">rather than per study the contrast is starker still: a DiD study</w:t>
      </w:r>
      <w:r>
        <w:t xml:space="preserve"> </w:t>
      </w:r>
      <w:r>
        <w:t xml:space="preserve">uses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subjects and a PP study</w:t>
      </w:r>
      <w:r>
        <w:t xml:space="preserve"> </w:t>
      </w:r>
      <m:oMath>
        <m:r>
          <m:t>n</m:t>
        </m:r>
      </m:oMath>
      <w:r>
        <w:t xml:space="preserve">, so PP is four times as efficient per</w:t>
      </w:r>
      <w:r>
        <w:t xml:space="preserve"> </w:t>
      </w:r>
      <w:r>
        <w:t xml:space="preserve">subject. The per-study comparison used throughout is the conservative one.</w:t>
      </w:r>
    </w:p>
    <w:bookmarkEnd w:id="27"/>
    <w:bookmarkEnd w:id="28"/>
    <w:bookmarkStart w:id="34" w:name="X40e96844a62ebc00d2d611885a4573aa20330a9"/>
    <w:p>
      <w:pPr>
        <w:pStyle w:val="Heading1"/>
      </w:pPr>
      <w:r>
        <w:t xml:space="preserve">5. Step 2 — from sampling variance to information about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</m:oMath>
    </w:p>
    <w:bookmarkStart w:id="29" w:name="the-random-effects-structure"/>
    <w:p>
      <w:pPr>
        <w:pStyle w:val="Heading2"/>
      </w:pPr>
      <w:r>
        <w:t xml:space="preserve">5.1 The random-effects structure</w:t>
      </w:r>
    </w:p>
    <w:p>
      <w:pPr>
        <w:pStyle w:val="FirstParagraph"/>
      </w:pPr>
      <w:r>
        <w:t xml:space="preserve">Study effects are drawn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θ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, and study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estimates its own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sampling variance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 Marginally,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r>
                    <m:t>τ</m:t>
                  </m:r>
                </m:e>
                <m:sub>
                  <m:r>
                    <m:t>θ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information a single study carries about the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τ</m:t>
                      </m:r>
                    </m:e>
                    <m:sub>
                      <m:r>
                        <m:t>θ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 </m:t>
              </m:r>
            </m:e>
          </m:borderBox>
        </m:oMath>
      </m:oMathPara>
    </w:p>
    <w:bookmarkEnd w:id="29"/>
    <w:bookmarkStart w:id="30" w:name="why-this-is-not-1s2"/>
    <w:p>
      <w:pPr>
        <w:pStyle w:val="Heading2"/>
      </w:pPr>
      <w:r>
        <w:t xml:space="preserve">5.2 Why this 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</w:p>
    <w:p>
      <w:pPr>
        <w:pStyle w:val="FirstParagraph"/>
      </w:pPr>
      <m:oMath>
        <m:sSubSup>
          <m:e>
            <m:r>
              <m:t>τ</m:t>
            </m:r>
          </m:e>
          <m:sub>
            <m:r>
              <m:t>θ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acts as a</w:t>
      </w:r>
      <w:r>
        <w:t xml:space="preserve"> </w:t>
      </w:r>
      <w:r>
        <w:rPr>
          <w:b/>
          <w:bCs/>
        </w:rPr>
        <w:t xml:space="preserve">floor</w:t>
      </w:r>
      <w:r>
        <w:t xml:space="preserve">. As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/</m:t>
        </m:r>
        <m:sSubSup>
          <m:e>
            <m:r>
              <m:t>τ</m:t>
            </m:r>
          </m:e>
          <m:sub>
            <m:r>
              <m:t>θ</m:t>
            </m:r>
          </m:sub>
          <m:sup>
            <m:r>
              <m:t>2</m:t>
            </m:r>
          </m:sup>
        </m:sSubSup>
      </m:oMath>
      <w:r>
        <w:t xml:space="preserve">, not</w:t>
      </w:r>
      <w:r>
        <w:t xml:space="preserve"> </w:t>
      </w:r>
      <w:r>
        <w:t xml:space="preserve">infinity: a perfectly precise study pins down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, which is</w:t>
      </w:r>
      <w:r>
        <w:t xml:space="preserve"> </w:t>
      </w:r>
      <w:r>
        <w:t xml:space="preserve">still only one draw from the population.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studies the posterior variance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cannot fall below</w:t>
      </w:r>
      <w:r>
        <w:t xml:space="preserve"> </w:t>
      </w:r>
      <m:oMath>
        <m:sSubSup>
          <m:e>
            <m:r>
              <m:t>τ</m:t>
            </m:r>
          </m:e>
          <m:sub>
            <m:r>
              <m:t>θ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however large the studies are.</w:t>
      </w:r>
    </w:p>
    <w:p>
      <w:pPr>
        <w:pStyle w:val="BodyText"/>
      </w:pPr>
      <w:r>
        <w:t xml:space="preserve">This floor is what compresses design differences, because designs differ only</w:t>
      </w:r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0"/>
    <w:bookmarkStart w:id="31" w:name="Xf3af34132b8c5de7f1bfef198a12b5b7d6a05b1"/>
    <w:p>
      <w:pPr>
        <w:pStyle w:val="Heading2"/>
      </w:pPr>
      <w:r>
        <w:t xml:space="preserve">5.3 The exchange rate with the nuisance known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 </m:t>
              </m:r>
              <m:sSubSup>
                <m:e>
                  <m:r>
                    <m:t>R</m:t>
                  </m:r>
                </m:e>
                <m:sub>
                  <m:r>
                    <m:t>X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bSup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DiD</m:t>
                      </m:r>
                    </m:sub>
                  </m:sSub>
                </m:den>
              </m:f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f>
                <m:fPr>
                  <m:type m:val="bar"/>
                </m:fPr>
                <m:num>
                  <m:sSubSup>
                    <m:e>
                      <m:r>
                        <m:t>τ</m:t>
                      </m:r>
                    </m:e>
                    <m:sub>
                      <m:r>
                        <m:t>θ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DiD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τ</m:t>
                      </m:r>
                    </m:e>
                    <m:sub>
                      <m:r>
                        <m:t>θ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 </m:t>
              </m:r>
            </m:e>
          </m:borderBox>
        </m:oMath>
      </m:oMathPara>
    </w:p>
    <w:bookmarkEnd w:id="31"/>
    <w:bookmarkStart w:id="32" w:name="limiting-behaviour"/>
    <w:p>
      <w:pPr>
        <w:pStyle w:val="Heading2"/>
      </w:pPr>
      <w:r>
        <w:t xml:space="preserve">5.4 Limiting behaviour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τ</m:t>
            </m:r>
          </m:e>
          <m:sub>
            <m:r>
              <m:t>θ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R</m:t>
            </m:r>
          </m:e>
          <m:sub>
            <m:r>
              <m:t>X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→</m:t>
        </m:r>
        <m:sSubSup>
          <m:e>
            <m:r>
              <m:t>s</m:t>
            </m:r>
          </m:e>
          <m:sub>
            <m:r>
              <m:rPr>
                <m:nor/>
                <m:sty m:val="p"/>
              </m:rPr>
              <m:t>DiD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Sup>
          <m:e>
            <m:r>
              <m:t>s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, giving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PP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RCT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e>
        </m:d>
      </m:oMath>
      <w:r>
        <w:t xml:space="preserve">. This is expression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τ</m:t>
            </m:r>
          </m:e>
          <m:sub>
            <m:r>
              <m:t>θ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sSubSup>
          <m:e>
            <m:r>
              <m:t>R</m:t>
            </m:r>
          </m:e>
          <m:sub>
            <m:r>
              <m:t>X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for every design.</w:t>
      </w:r>
    </w:p>
    <w:p>
      <w:pPr>
        <w:pStyle w:val="FirstParagraph"/>
      </w:pPr>
      <w:r>
        <w:rPr>
          <w:b/>
          <w:bCs/>
        </w:rPr>
        <w:t xml:space="preserve">Heterogeneity moves the ratio toward 1, not downward.</w:t>
      </w:r>
      <w:r>
        <w:t xml:space="preserve"> </w:t>
      </w:r>
      <w:r>
        <w:t xml:space="preserve">If the</w:t>
      </w:r>
      <w:r>
        <w:t xml:space="preserve"> </w:t>
      </w:r>
      <w:r>
        <w:t xml:space="preserve">no-heterogeneity ratio exceeds 1, heterogeneity reduces it; if it is below 1,</w:t>
      </w:r>
      <w:r>
        <w:t xml:space="preserve"> </w:t>
      </w:r>
      <w:r>
        <w:t xml:space="preserve">heterogeneity</w:t>
      </w:r>
      <w:r>
        <w:t xml:space="preserve"> </w:t>
      </w:r>
      <w:r>
        <w:rPr>
          <w:i/>
          <w:iCs/>
        </w:rPr>
        <w:t xml:space="preserve">increases</w:t>
      </w:r>
      <w:r>
        <w:t xml:space="preserve"> </w:t>
      </w:r>
      <w:r>
        <w:t xml:space="preserve">it. Mechanically, a common floor</w:t>
      </w:r>
      <w:r>
        <w:t xml:space="preserve"> </w:t>
      </w:r>
      <m:oMath>
        <m:sSubSup>
          <m:e>
            <m:r>
              <m:t>τ</m:t>
            </m:r>
          </m:e>
          <m:sub>
            <m:r>
              <m:t>θ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penalises whichever design was more precise. Expressions 1 and 2 are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ordered, and must not be drawn as a monotone sequence.</w:t>
      </w:r>
    </w:p>
    <w:bookmarkEnd w:id="32"/>
    <w:bookmarkStart w:id="33" w:name="an-invariant"/>
    <w:p>
      <w:pPr>
        <w:pStyle w:val="Heading2"/>
      </w:pPr>
      <w:r>
        <w:t xml:space="preserve">5.5 An invariant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rPr>
                <m:nor/>
                <m:sty m:val="p"/>
              </m:rPr>
              <m:t>DiD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rPr>
                <m:nor/>
                <m:sty m:val="p"/>
              </m:rPr>
              <m:t>RCT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identically, so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RCT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b/>
          <w:bCs/>
        </w:rPr>
        <w:t xml:space="preserve">regardless of</w:t>
      </w:r>
      <w:r>
        <w:rPr>
          <w:b/>
          <w:bCs/>
        </w:rPr>
        <w:t xml:space="preserve"> </w:t>
      </w:r>
      <m:oMath>
        <m:sSub>
          <m:e>
            <m:r>
              <m:t>τ</m:t>
            </m:r>
          </m:e>
          <m:sub>
            <m:r>
              <m:t>θ</m:t>
            </m:r>
          </m:sub>
        </m:sSub>
      </m:oMath>
      <w:r>
        <w:t xml:space="preserve">. The crossover between</w:t>
      </w:r>
      <w:r>
        <w:t xml:space="preserve"> </w:t>
      </w:r>
      <w:r>
        <w:t xml:space="preserve">DiD and post-only RCT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robust to heterogeneity, even though</w:t>
      </w:r>
      <w:r>
        <w:t xml:space="preserve"> </w:t>
      </w:r>
      <w:r>
        <w:t xml:space="preserve">the magnitudes elsewhere are not.</w:t>
      </w:r>
    </w:p>
    <w:bookmarkEnd w:id="33"/>
    <w:bookmarkEnd w:id="34"/>
    <w:bookmarkStart w:id="40" w:name="step-3-charging-for-identification"/>
    <w:p>
      <w:pPr>
        <w:pStyle w:val="Heading1"/>
      </w:pPr>
      <w:r>
        <w:t xml:space="preserve">6. Step 3 — charging for identification</w:t>
      </w:r>
    </w:p>
    <w:bookmarkStart w:id="35" w:name="X498c2030f0f88a1dd60756bd1fd63e1fd1717a1"/>
    <w:p>
      <w:pPr>
        <w:pStyle w:val="Heading2"/>
      </w:pPr>
      <w:r>
        <w:t xml:space="preserve">6.1 Each design’s nuisance, and where it is identified</w:t>
      </w:r>
    </w:p>
    <w:p>
      <w:pPr>
        <w:pStyle w:val="FirstParagraph"/>
      </w:pPr>
      <w:r>
        <w:t xml:space="preserve">From Section 4, the incomplete designs estimate a contaminated quantity: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observes</w:t>
            </w:r>
          </w:p>
        </w:tc>
        <w:tc>
          <w:tcPr/>
          <w:p>
            <w:pPr>
              <w:pStyle w:val="Compact"/>
            </w:pPr>
            <w:r>
              <w:t xml:space="preserve">nuisance</w:t>
            </w:r>
          </w:p>
        </w:tc>
        <w:tc>
          <w:tcPr/>
          <w:p>
            <w:pPr>
              <w:pStyle w:val="Compact"/>
            </w:pPr>
            <w:r>
              <w:t xml:space="preserve">identified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trend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</w:pPr>
            <w:r>
              <w:t xml:space="preserve">DiD control-arm change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baseline difference</w:t>
            </w:r>
            <w:r>
              <w:t xml:space="preserve"> </w:t>
            </w: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t xml:space="preserve">DiD difference of pre-arm means</w:t>
            </w:r>
          </w:p>
        </w:tc>
      </w:tr>
    </w:tbl>
    <w:p>
      <w:pPr>
        <w:pStyle w:val="BodyText"/>
      </w:pPr>
      <w:r>
        <w:t xml:space="preserve">The DiD control-arm change score has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c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and, by</w:t>
      </w:r>
      <w:r>
        <w:t xml:space="preserve"> </w:t>
      </w:r>
      <w:r>
        <w:t xml:space="preserve">(4.1), variance</w:t>
      </w:r>
      <w:r>
        <w:t xml:space="preserve"> </w:t>
      </w:r>
      <m:oMath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e>
        </m:d>
        <m:r>
          <m:rPr>
            <m:sty m:val="p"/>
          </m:rPr>
          <m:t>/</m:t>
        </m:r>
        <m:r>
          <m:t>n</m:t>
        </m:r>
      </m:oMath>
      <w:r>
        <w:t xml:space="preserve">;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β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β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the per-DiD-study information about</w:t>
      </w:r>
      <w:r>
        <w:t xml:space="preserve"> </w:t>
      </w:r>
      <m:oMath>
        <m:sSub>
          <m:e>
            <m:r>
              <m:t>μ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τ</m:t>
                  </m:r>
                </m:e>
                <m:sub>
                  <m:r>
                    <m:t>β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DiD difference of pre-period arm means has expectation</w:t>
      </w:r>
      <w:r>
        <w:t xml:space="preserve"> </w:t>
      </w:r>
      <m:oMath>
        <m:sSub>
          <m:e>
            <m:r>
              <m:t>γ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variance</w:t>
      </w:r>
      <w:r>
        <w:t xml:space="preserve"> </w:t>
      </w:r>
      <m:oMath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(two independent means, no differencing over time),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τ</m:t>
                  </m:r>
                </m:e>
                <m:sub>
                  <m:r>
                    <m:t>γ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35"/>
    <w:bookmarkStart w:id="36" w:name="joint-information-for-mu_theta-nu"/>
    <w:p>
      <w:pPr>
        <w:pStyle w:val="Heading2"/>
      </w:pPr>
      <w:r>
        <w:t xml:space="preserve">6.2 Joint information for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ν</m:t>
            </m:r>
          </m:e>
        </m:d>
      </m:oMath>
    </w:p>
    <w:p>
      <w:pPr>
        <w:pStyle w:val="FirstParagraph"/>
      </w:pPr>
      <w:r>
        <w:t xml:space="preserve">Write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for the relevant nuisance mean. With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DiD studies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studies of incomplete design</w:t>
      </w:r>
      <w:r>
        <w:t xml:space="preserve"> </w:t>
      </w:r>
      <m:oMath>
        <m:r>
          <m:t>X</m:t>
        </m:r>
      </m:oMath>
      <w:r>
        <w:t xml:space="preserve">, three groups of observations contribute: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DiD contrasts, each informing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alone with precision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DiD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DiD nuisance observations, each informing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alone with precision</w:t>
      </w:r>
      <w:r>
        <w:t xml:space="preserve"> </w:t>
      </w:r>
      <m:oMath>
        <m:sSub>
          <m:e>
            <m:r>
              <m:t>i</m:t>
            </m:r>
          </m:e>
          <m:sub>
            <m:r>
              <m:t>ν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k</m:t>
        </m:r>
      </m:oMath>
      <w:r>
        <w:t xml:space="preserve"> </w:t>
      </w:r>
      <w:r>
        <w:t xml:space="preserve">incomplete studies, each informing 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 precision</w:t>
      </w:r>
      <w:r>
        <w:t xml:space="preserve"> </w:t>
      </w:r>
      <m:oMath>
        <m:sSub>
          <m:e>
            <m:r>
              <m:t>I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An observation of a sum contributes to both diagonal entries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to the</w:t>
      </w:r>
      <w:r>
        <w:t xml:space="preserve"> </w:t>
      </w:r>
      <w:r>
        <w:t xml:space="preserve">off-diagonal. The Fisher information matrix is therefore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DiD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r>
                      <m:t>k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r>
                      <m:t>k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ν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36"/>
    <w:bookmarkStart w:id="37" w:name="inversion"/>
    <w:p>
      <w:pPr>
        <w:pStyle w:val="Heading2"/>
      </w:pPr>
      <w:r>
        <w:t xml:space="preserve">6.3 Inversion</w:t>
      </w:r>
    </w:p>
    <w:p>
      <w:pPr>
        <w:pStyle w:val="FirstParagraph"/>
      </w:pP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entry of the inverse is</w:t>
      </w:r>
      <w:r>
        <w:t xml:space="preserve"> </w:t>
      </w:r>
      <m:oMath>
        <m:sSub>
          <m:e>
            <m:r>
              <m:t>J</m:t>
            </m:r>
          </m:e>
          <m:sub>
            <m:r>
              <m:t>22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det</m:t>
        </m:r>
        <m:r>
          <m:t>J</m:t>
        </m:r>
      </m:oMath>
      <w:r>
        <w:t xml:space="preserve">, so</w:t>
      </w:r>
      <w:r>
        <w:t xml:space="preserve"> </w:t>
      </w:r>
      <w:r>
        <w:t xml:space="preserve">the precision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θ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t>J</m:t>
        </m:r>
        <m:r>
          <m:rPr>
            <m:sty m:val="p"/>
          </m:rPr>
          <m:t>/</m:t>
        </m:r>
        <m:sSub>
          <m:e>
            <m:r>
              <m:t>J</m:t>
            </m:r>
          </m:e>
          <m:sub>
            <m:r>
              <m:t>22</m:t>
            </m:r>
          </m:sub>
        </m:sSub>
      </m:oMath>
      <w:r>
        <w:t xml:space="preserve">. Expanding,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J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DiD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e>
          </m:d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DiD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and collecting the</w:t>
      </w:r>
      <w:r>
        <w:t xml:space="preserve"> </w:t>
      </w:r>
      <m:oMath>
        <m:r>
          <m:t>k</m:t>
        </m:r>
        <m:sSub>
          <m:e>
            <m:r>
              <m:t>I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terms,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e>
              </m:d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limLow>
                <m:e>
                  <m:limLow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DiD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anchor</m:t>
                  </m:r>
                </m:lim>
              </m:limLow>
              <m:r>
                <m:t> </m:t>
              </m:r>
              <m:r>
                <m:rPr>
                  <m:sty m:val="p"/>
                </m:rPr>
                <m:t>+</m:t>
              </m:r>
              <m:r>
                <m:t> </m:t>
              </m:r>
              <m:limLow>
                <m:e>
                  <m:limLow>
                    <m:e>
                      <m:r>
                        <m:t>k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raw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ν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ν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k</m:t>
                          </m:r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identification discount </m:t>
                  </m:r>
                  <m:r>
                    <m:rPr>
                      <m:sty m:val="p"/>
                      <m:scr m:val="script"/>
                    </m:rPr>
                    <m:t>D</m:t>
                  </m:r>
                </m:lim>
              </m:limLow>
              <m:r>
                <m:t> </m:t>
              </m:r>
            </m:e>
          </m:borderBox>
        </m:oMath>
      </m:oMathPara>
    </w:p>
    <w:bookmarkEnd w:id="37"/>
    <w:bookmarkStart w:id="38" w:name="behaviour-of-the-discount"/>
    <w:p>
      <w:pPr>
        <w:pStyle w:val="Heading2"/>
      </w:pPr>
      <w:r>
        <w:t xml:space="preserve">6.4 Behaviour of the discount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t> </m:t>
              </m:r>
              <m:sSub>
                <m:e>
                  <m:r>
                    <m:t>i</m:t>
                  </m:r>
                </m:e>
                <m:sub>
                  <m:r>
                    <m:t>ν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t> </m:t>
              </m:r>
              <m:sSub>
                <m:e>
                  <m:r>
                    <m:t>i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∈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Compact"/>
        <w:numPr>
          <w:ilvl w:val="0"/>
          <w:numId w:val="1006"/>
        </w:numPr>
      </w:pP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→</m:t>
        </m:r>
        <m:r>
          <m:t>1</m:t>
        </m:r>
      </m:oMath>
      <w:r>
        <w:t xml:space="preserve">. The nuisance is effectively known and the</w:t>
      </w:r>
      <w:r>
        <w:t xml:space="preserve"> </w:t>
      </w:r>
      <w:r>
        <w:t xml:space="preserve">design realises its full value.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→</m:t>
        </m:r>
        <m:r>
          <m:t>0</m:t>
        </m:r>
      </m:oMath>
      <w:r>
        <w:t xml:space="preserve">. With no anchor the incomplete studies are</w:t>
      </w:r>
      <w:r>
        <w:t xml:space="preserve"> </w:t>
      </w:r>
      <w:r>
        <w:t xml:space="preserve">worthless for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— they identify only the sum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+</m:t>
        </m:r>
        <m:r>
          <m:t>ν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 the total contribution</w:t>
      </w:r>
      <w:r>
        <w:t xml:space="preserve"> </w:t>
      </w:r>
      <m:oMath>
        <m:r>
          <m:t>k</m:t>
        </m:r>
        <m:sSub>
          <m:e>
            <m:r>
              <m:t>I</m:t>
            </m:r>
          </m:e>
          <m:sub>
            <m:r>
              <m:t>X</m:t>
            </m:r>
          </m:sub>
        </m:sSub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saturates at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sSub>
          <m:e>
            <m:r>
              <m:t>i</m:t>
            </m:r>
          </m:e>
          <m:sub>
            <m:r>
              <m:t>ν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Adding incomplete studies has diminishing returns</w:t>
      </w:r>
      <w:r>
        <w:rPr>
          <w:b/>
          <w:bCs/>
        </w:rPr>
        <w:t xml:space="preserve"> </w:t>
      </w:r>
      <w:r>
        <w:rPr>
          <w:b/>
          <w:bCs/>
        </w:rPr>
        <w:t xml:space="preserve">bounded by the precision of the borrowed nuisance.</w:t>
      </w:r>
    </w:p>
    <w:bookmarkEnd w:id="38"/>
    <w:bookmarkStart w:id="39" w:name="the-exchange-rate"/>
    <w:p>
      <w:pPr>
        <w:pStyle w:val="Heading2"/>
      </w:pPr>
      <w:r>
        <w:t xml:space="preserve">6.5 The exchange rate</w:t>
      </w:r>
    </w:p>
    <w:p>
      <w:pPr>
        <w:pStyle w:val="FirstParagraph"/>
      </w:pPr>
      <w:r>
        <w:t xml:space="preserve">Adding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DiD studies instead gives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sSub>
          <m:e>
            <m:r>
              <m:t>I</m:t>
            </m:r>
          </m:e>
          <m:sub>
            <m:r>
              <m:rPr>
                <m:nor/>
                <m:sty m:val="p"/>
              </m:rPr>
              <m:t>DiD</m:t>
            </m:r>
          </m:sub>
        </m:sSub>
      </m:oMath>
      <w:r>
        <w:t xml:space="preserve">,</w:t>
      </w:r>
      <w:r>
        <w:t xml:space="preserve"> </w:t>
      </w:r>
      <w:r>
        <w:t xml:space="preserve">because with no incomplete studies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block diagonal and the nuisance is</w:t>
      </w:r>
      <w:r>
        <w:t xml:space="preserve"> </w:t>
      </w:r>
      <w:r>
        <w:t xml:space="preserve">irrelevant to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</m:oMath>
      <w:r>
        <w:t xml:space="preserve">. Hence the gains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k</m:t>
          </m:r>
          <m:sSub>
            <m:e>
              <m:r>
                <m:t>I</m:t>
              </m:r>
            </m:e>
            <m:sub>
              <m:r>
                <m:t>X</m:t>
              </m:r>
            </m:sub>
          </m:sSub>
          <m:r>
            <m:rPr>
              <m:sty m:val="p"/>
              <m:scr m:val="script"/>
            </m:rPr>
            <m:t>D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rPr>
                  <m:nor/>
                  <m:sty m:val="p"/>
                </m:rPr>
                <m:t>DiD</m:t>
              </m:r>
            </m:sub>
          </m:sSub>
          <m:r>
            <m:rPr>
              <m:sty m:val="p"/>
            </m:rPr>
            <m:t>=</m:t>
          </m:r>
          <m:r>
            <m:t>k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DiD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 </m:t>
              </m:r>
              <m:sSubSup>
                <m:e>
                  <m:r>
                    <m:t>R</m:t>
                  </m:r>
                </m:e>
                <m:sub>
                  <m:r>
                    <m:t>X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sup>
              </m:sSubSup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DiD</m:t>
                      </m:r>
                    </m:sub>
                  </m:sSub>
                </m:den>
              </m:f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τ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DiD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τ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sSubSup>
                    <m:e>
                      <m:r>
                        <m:t>R</m:t>
                      </m:r>
                    </m:e>
                    <m:sub>
                      <m:r>
                        <m:t>X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</m:e>
                      </m:d>
                    </m:sup>
                  </m:sSubSup>
                </m:lim>
              </m:limLow>
              <m:r>
                <m:t> </m:t>
              </m:r>
              <m:r>
                <m:rPr>
                  <m:sty m:val="p"/>
                </m:rPr>
                <m:t>×</m:t>
              </m:r>
              <m:r>
                <m:t> 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ν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ν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k</m:t>
                          </m:r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  <m:scr m:val="script"/>
                    </m:rPr>
                    <m:t>D</m:t>
                  </m:r>
                </m:lim>
              </m:limLow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cancels from the ratio itself but remains inside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, so the</w:t>
      </w:r>
      <w:r>
        <w:t xml:space="preserve"> </w:t>
      </w:r>
      <w:r>
        <w:t xml:space="preserve">exchange rate depends on how many studies are added as well as on the anchor.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strictly, expression 3 is always below expression 2 —</w:t>
      </w:r>
      <w:r>
        <w:t xml:space="preserve"> </w:t>
      </w:r>
      <w:r>
        <w:t xml:space="preserve">these two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ordered, unlike expressions 1 and 2.</w:t>
      </w:r>
    </w:p>
    <w:bookmarkEnd w:id="39"/>
    <w:bookmarkEnd w:id="40"/>
    <w:bookmarkStart w:id="41" w:name="the-estimator-used-in-the-simulation"/>
    <w:p>
      <w:pPr>
        <w:pStyle w:val="Heading1"/>
      </w:pPr>
      <w:r>
        <w:t xml:space="preserve">7. The estimator used in the simulation</w:t>
      </w:r>
    </w:p>
    <w:p>
      <w:pPr>
        <w:pStyle w:val="FirstParagraph"/>
      </w:pPr>
      <w:r>
        <w:t xml:space="preserve">The panel does not use (6.5) to produce its measured points; it estimates the</w:t>
      </w:r>
      <w:r>
        <w:t xml:space="preserve"> </w:t>
      </w:r>
      <w:r>
        <w:t xml:space="preserve">same quantity from posterior output.</w:t>
      </w:r>
    </w:p>
    <w:p>
      <w:pPr>
        <w:pStyle w:val="BodyText"/>
      </w:pPr>
      <w:r>
        <w:t xml:space="preserve">For each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ρ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</m:e>
        </m:d>
      </m:oMath>
      <w:r>
        <w:t xml:space="preserve"> </w:t>
      </w:r>
      <w:r>
        <w:t xml:space="preserve">cell four scenarios are run: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DiD only),</w:t>
      </w:r>
      <w:r>
        <w:t xml:space="preserve"> </w:t>
      </w:r>
      <w:r>
        <w:rPr>
          <w:rStyle w:val="VerbatimChar"/>
        </w:rPr>
        <w:t xml:space="preserve">did</w:t>
      </w:r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DiD),</w:t>
      </w:r>
      <w:r>
        <w:t xml:space="preserve"> </w:t>
      </w:r>
      <w:r>
        <w:rPr>
          <w:rStyle w:val="VerbatimChar"/>
        </w:rPr>
        <w:t xml:space="preserve">rct</w:t>
      </w:r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DiD</w:t>
      </w:r>
      <w:r>
        <w:t xml:space="preserve"> </w:t>
      </w:r>
      <m:oMath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RCT),</w:t>
      </w:r>
      <w:r>
        <w:t xml:space="preserve"> </w:t>
      </w:r>
      <w:r>
        <w:rPr>
          <w:rStyle w:val="VerbatimChar"/>
        </w:rPr>
        <w:t xml:space="preserve">pp</w:t>
      </w:r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DiD</w:t>
      </w:r>
      <w:r>
        <w:t xml:space="preserve"> </w:t>
      </w:r>
      <m:oMath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PP).</w:t>
      </w:r>
      <w:r>
        <w:t xml:space="preserve"> </w:t>
      </w:r>
      <w:r>
        <w:t xml:space="preserve">Writing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bar>
              <m:barPr>
                <m:pos m:val="top"/>
              </m:barPr>
              <m:e>
                <m:r>
                  <m:rPr>
                    <m:nor/>
                    <m:sty m:val="p"/>
                  </m:rPr>
                  <m:t>SD</m:t>
                </m:r>
              </m:e>
            </m:bar>
          </m:e>
          <m:sup>
            <m:r>
              <m:t>2</m:t>
            </m:r>
          </m:sup>
        </m:sSup>
      </m:oMath>
      <w:r>
        <w:t xml:space="preserve"> </w:t>
      </w:r>
      <w:r>
        <w:t xml:space="preserve">for the posterior precision of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mean_posterior_sd</w:t>
      </w:r>
      <w:r>
        <w:t xml:space="preserve">, averaged over replicates),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core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did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core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Two remarks.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divisor cancels.</w:t>
      </w:r>
      <w:r>
        <w:t xml:space="preserve"> </w:t>
      </w:r>
      <w:r>
        <w:t xml:space="preserve">All arms add the same number of studies, so the</w:t>
      </w:r>
      <w:r>
        <w:t xml:space="preserve"> </w:t>
      </w:r>
      <w:r>
        <w:t xml:space="preserve">ratio of increments is already per study.</w:t>
      </w:r>
    </w:p>
    <w:p>
      <w:pPr>
        <w:pStyle w:val="BodyText"/>
      </w:pPr>
      <w:r>
        <w:rPr>
          <w:b/>
          <w:bCs/>
        </w:rPr>
        <w:t xml:space="preserve">The prior cancels.</w:t>
      </w:r>
      <w:r>
        <w:t xml:space="preserve"> </w:t>
      </w:r>
      <w:r>
        <w:t xml:space="preserve">If precision is additive,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core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prior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D</m:t>
            </m:r>
          </m:sub>
        </m:sSub>
        <m:sSub>
          <m:e>
            <m:r>
              <m:t>I</m:t>
            </m:r>
          </m:e>
          <m:sub>
            <m:r>
              <m:rPr>
                <m:nor/>
                <m:sty m:val="p"/>
              </m:rPr>
              <m:t>DiD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did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prior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sSub>
          <m:e>
            <m:r>
              <m:t>I</m:t>
            </m:r>
          </m:e>
          <m:sub>
            <m:r>
              <m:rPr>
                <m:nor/>
                <m:sty m:val="p"/>
              </m:rPr>
              <m:t>DiD</m:t>
            </m:r>
          </m:sub>
        </m:sSub>
      </m:oMath>
      <w:r>
        <w:t xml:space="preserve">, so the difference is</w:t>
      </w:r>
      <w:r>
        <w:t xml:space="preserve"> </w:t>
      </w:r>
      <m:oMath>
        <m:r>
          <m:t>k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DiD</m:t>
            </m:r>
          </m:sub>
        </m:sSub>
      </m:oMath>
      <w:r>
        <w:t xml:space="preserve"> </w:t>
      </w:r>
      <w:r>
        <w:t xml:space="preserve">with no prior term. This is why the estimator is a</w:t>
      </w:r>
      <w:r>
        <w:t xml:space="preserve"> </w:t>
      </w:r>
      <w:r>
        <w:rPr>
          <w:i/>
          <w:iCs/>
        </w:rPr>
        <w:t xml:space="preserve">difference</w:t>
      </w:r>
      <w:r>
        <w:t xml:space="preserve"> </w:t>
      </w:r>
      <w:r>
        <w:t xml:space="preserve">of precisions rather than a precision itself.</w:t>
      </w:r>
    </w:p>
    <w:p>
      <w:pPr>
        <w:pStyle w:val="BodyText"/>
      </w:pPr>
      <w:r>
        <w:t xml:space="preserve">Two ways it can fail: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Non-convergence.</w:t>
      </w:r>
      <w:r>
        <w:t xml:space="preserve"> </w:t>
      </w:r>
      <w:r>
        <w:t xml:space="preserve">A poorly mixed chain gives a meaningless posterior SD.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core</m:t>
            </m:r>
          </m:sub>
        </m:sSub>
      </m:oMath>
      <w:r>
        <w:t xml:space="preserve"> </w:t>
      </w:r>
      <w:r>
        <w:t xml:space="preserve">appears in both numerator and denominator,</w:t>
      </w:r>
      <w:r>
        <w:t xml:space="preserve"> </w:t>
      </w:r>
      <w:r>
        <w:t xml:space="preserve">one bad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arm corrupts every ratio at that grid point. The panel</w:t>
      </w:r>
      <w:r>
        <w:t xml:space="preserve"> </w:t>
      </w:r>
      <w:r>
        <w:t xml:space="preserve">therefore drops any arm with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&gt;</m:t>
        </m:r>
        <m:r>
          <m:t>1.05</m:t>
        </m:r>
      </m:oMath>
      <w:r>
        <w:t xml:space="preserve"> </w:t>
      </w:r>
      <w:r>
        <w:t xml:space="preserve">and leaves the affected point</w:t>
      </w:r>
      <w:r>
        <w:t xml:space="preserve"> </w:t>
      </w:r>
      <w:r>
        <w:t xml:space="preserve">missing rather than plotting a wrong value.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Non-linearity in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Additivity requires the increment to be in the</w:t>
      </w:r>
      <w:r>
        <w:t xml:space="preserve"> </w:t>
      </w:r>
      <w:r>
        <w:t xml:space="preserve">linear regime. It degrades when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large relative to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, or when</w:t>
      </w:r>
      <w:r>
        <w:t xml:space="preserve"> </w:t>
      </w:r>
      <m:oMath>
        <m:sSub>
          <m:e>
            <m:r>
              <m:t>τ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estimation makes precision non-additive. Running a second value</w:t>
      </w:r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checking the ratio is stable is the direct test.</w:t>
      </w:r>
    </w:p>
    <w:bookmarkEnd w:id="41"/>
    <w:bookmarkStart w:id="42" w:name="assumptions"/>
    <w:p>
      <w:pPr>
        <w:pStyle w:val="Heading1"/>
      </w:pPr>
      <w:r>
        <w:t xml:space="preserve">8.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where used</w:t>
            </w:r>
          </w:p>
        </w:tc>
        <w:tc>
          <w:tcPr/>
          <w:p>
            <w:pPr>
              <w:pStyle w:val="Compact"/>
            </w:pPr>
            <w:r>
              <w:t xml:space="preserve">consequence if violated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Equal arm sizes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(4.2)–(4.4)</w:t>
            </w:r>
          </w:p>
        </w:tc>
        <w:tc>
          <w:tcPr/>
          <w:p>
            <w:pPr>
              <w:pStyle w:val="Compact"/>
            </w:pPr>
            <w:r>
              <w:t xml:space="preserve">variances gain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factors; ratios shift but the structure 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across arms, time points and studies</w:t>
            </w:r>
          </w:p>
        </w:tc>
        <w:tc>
          <w:tcPr/>
          <w:p>
            <w:pPr>
              <w:pStyle w:val="Compact"/>
            </w:pPr>
            <w:r>
              <w:t xml:space="preserve">(4.1)</w:t>
            </w:r>
          </w:p>
        </w:tc>
        <w:tc>
          <w:tcPr/>
          <w:p>
            <w:pPr>
              <w:pStyle w:val="Compact"/>
            </w:pPr>
            <w:r>
              <w:t xml:space="preserve">heterogeneous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makes the exchange rate study-specific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Normality of subject-level outcomes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  <w:tc>
          <w:tcPr/>
          <w:p>
            <w:pPr>
              <w:pStyle w:val="Compact"/>
            </w:pPr>
            <w:r>
              <w:t xml:space="preserve">mild; the CLT covers the arm means for realistic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Posterior for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 </w:t>
            </w:r>
            <w:r>
              <w:t xml:space="preserve">approximately Gaussian</w:t>
            </w:r>
          </w:p>
        </w:tc>
        <w:tc>
          <w:tcPr/>
          <w:p>
            <w:pPr>
              <w:pStyle w:val="Compact"/>
            </w:pPr>
            <w:r>
              <w:t xml:space="preserve">Section 7</w:t>
            </w:r>
          </w:p>
        </w:tc>
        <w:tc>
          <w:tcPr/>
          <w:p>
            <w:pPr>
              <w:pStyle w:val="Compact"/>
            </w:pPr>
            <w:r>
              <w:t xml:space="preserve">posterior SD would no longer summarise 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β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γ</m:t>
                  </m:r>
                </m:sub>
              </m:sSub>
            </m:oMath>
            <w:r>
              <w:t xml:space="preserve"> </w:t>
            </w:r>
            <w:r>
              <w:rPr>
                <w:b/>
                <w:bCs/>
              </w:rPr>
              <w:t xml:space="preserve">known</w:t>
            </w:r>
          </w:p>
        </w:tc>
        <w:tc>
          <w:tcPr/>
          <w:p>
            <w:pPr>
              <w:pStyle w:val="Compact"/>
            </w:pPr>
            <w:r>
              <w:t xml:space="preserve">(5.1), (6.1), (6.2)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main simplification.</w:t>
            </w:r>
            <w:r>
              <w:t xml:space="preserve"> </w:t>
            </w:r>
            <w:r>
              <w:t xml:space="preserve">They are estimated, which adds uncertainty the derivation omits, so (6.5) is optimistic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Information adds across studies</w:t>
            </w:r>
          </w:p>
        </w:tc>
        <w:tc>
          <w:tcPr/>
          <w:p>
            <w:pPr>
              <w:pStyle w:val="Compact"/>
            </w:pPr>
            <w:r>
              <w:t xml:space="preserve">(6.3), Section 7</w:t>
            </w:r>
          </w:p>
        </w:tc>
        <w:tc>
          <w:tcPr/>
          <w:p>
            <w:pPr>
              <w:pStyle w:val="Compact"/>
            </w:pPr>
            <w:r>
              <w:t xml:space="preserve">breaks when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large relative to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Flat priors on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β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γ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Section 7</w:t>
            </w:r>
          </w:p>
        </w:tc>
        <w:tc>
          <w:tcPr/>
          <w:p>
            <w:pPr>
              <w:pStyle w:val="Compact"/>
            </w:pPr>
            <w:r>
              <w:t xml:space="preserve">an informative prior would not cancel in the differences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Exchangeability: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 PP studies drawn from the same distribution as for DiD studies</w:t>
            </w:r>
          </w:p>
        </w:tc>
        <w:tc>
          <w:tcPr/>
          <w:p>
            <w:pPr>
              <w:pStyle w:val="Compact"/>
            </w:pPr>
            <w:r>
              <w:t xml:space="preserve">Section 6.1</w:t>
            </w:r>
          </w:p>
        </w:tc>
        <w:tc>
          <w:tcPr/>
          <w:p>
            <w:pPr>
              <w:pStyle w:val="Compact"/>
            </w:pPr>
            <w:r>
              <w:t xml:space="preserve">borrowing becomes biased; this is exactly what the trend-plane category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γ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in truth, but estimated by the model</w:t>
            </w:r>
          </w:p>
        </w:tc>
        <w:tc>
          <w:tcPr/>
          <w:p>
            <w:pPr>
              <w:pStyle w:val="Compact"/>
            </w:pPr>
            <w:r>
              <w:t xml:space="preserve">Section 3</w:t>
            </w:r>
          </w:p>
        </w:tc>
        <w:tc>
          <w:tcPr/>
          <w:p>
            <w:pPr>
              <w:pStyle w:val="Compact"/>
            </w:pPr>
            <w:r>
              <w:t xml:space="preserve">with real imbalance the RCT discount is larger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Studies within a design are exchangeable and equally sized</w:t>
            </w:r>
          </w:p>
        </w:tc>
        <w:tc>
          <w:tcPr/>
          <w:p>
            <w:pPr>
              <w:pStyle w:val="Compact"/>
            </w:pPr>
            <w:r>
              <w:t xml:space="preserve">(6.3)</w:t>
            </w:r>
          </w:p>
        </w:tc>
        <w:tc>
          <w:tcPr/>
          <w:p>
            <w:pPr>
              <w:pStyle w:val="Compact"/>
            </w:pPr>
            <w:r>
              <w:t xml:space="preserve">unequal sizes require weighting each study separately</w:t>
            </w:r>
          </w:p>
        </w:tc>
      </w:tr>
    </w:tbl>
    <w:p>
      <w:pPr>
        <w:pStyle w:val="BodyText"/>
      </w:pPr>
      <w:r>
        <w:t xml:space="preserve">Assumption 5 is the one most likely to matter and is the first candidate for</w:t>
      </w:r>
      <w:r>
        <w:t xml:space="preserve"> </w:t>
      </w:r>
      <w:r>
        <w:t xml:space="preserve">any discrepancy between (6.5) and simulation.</w:t>
      </w:r>
    </w:p>
    <w:bookmarkEnd w:id="42"/>
    <w:bookmarkStart w:id="43" w:name="numerical-validation"/>
    <w:p>
      <w:pPr>
        <w:pStyle w:val="Heading1"/>
      </w:pPr>
      <w:r>
        <w:t xml:space="preserve">9. Numerical validation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0.12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0.03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β</m:t>
            </m:r>
          </m:sub>
        </m:sSub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γ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, against a local run at 3 replicates: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anchor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sup>
              </m:sSup>
            </m:oMath>
            <w:r>
              <w:t xml:space="preserve"> </w:t>
            </w:r>
            <w:r>
              <w:t xml:space="preserve">predicted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</w:tr>
    </w:tbl>
    <w:p>
      <w:pPr>
        <w:pStyle w:val="BodyText"/>
      </w:pPr>
      <w:r>
        <w:t xml:space="preserve">At the weak anchor the closed form is accurate to a few percent across all</w:t>
      </w:r>
      <w:r>
        <w:t xml:space="preserve"> </w:t>
      </w:r>
      <m:oMath>
        <m:r>
          <m:t>ρ</m:t>
        </m:r>
      </m:oMath>
      <w:r>
        <w:t xml:space="preserve">, with no fitted quantities. At the strong anchor the two designs’ errors</w:t>
      </w:r>
      <w:r>
        <w:t xml:space="preserve"> </w:t>
      </w:r>
      <w:r>
        <w:t xml:space="preserve">run in opposite directions — PP below prediction, RCT above — which noise alone</w:t>
      </w:r>
      <w:r>
        <w:t xml:space="preserve"> </w:t>
      </w:r>
      <w:r>
        <w:t xml:space="preserve">would not produce.</w:t>
      </w:r>
    </w:p>
    <w:p>
      <w:pPr>
        <w:pStyle w:val="BodyText"/>
      </w:pPr>
      <w:r>
        <w:t xml:space="preserve">Candidate explanations, in order of plausibility: three replicates is too few to</w:t>
      </w:r>
      <w:r>
        <w:t xml:space="preserve"> </w:t>
      </w:r>
      <w:r>
        <w:t xml:space="preserve">resolve the ratio; assumption 5 (variance components treated as known) bites</w:t>
      </w:r>
      <w:r>
        <w:t xml:space="preserve"> </w:t>
      </w:r>
      <w:r>
        <w:t xml:space="preserve">harder once the anchor is large enough that the nuisance posterior is no longer</w:t>
      </w:r>
      <w:r>
        <w:t xml:space="preserve"> </w:t>
      </w:r>
      <w:r>
        <w:t xml:space="preserve">the binding constraint; and the joint-normal approximation in (6.3) degrades in</w:t>
      </w:r>
      <w:r>
        <w:t xml:space="preserve"> </w:t>
      </w:r>
      <w:r>
        <w:t xml:space="preserve">the same regime. Distinguishing these requires a higher-replicate run.</w:t>
      </w:r>
    </w:p>
    <w:bookmarkEnd w:id="43"/>
    <w:bookmarkStart w:id="44" w:name="code"/>
    <w:p>
      <w:pPr>
        <w:pStyle w:val="Heading1"/>
      </w:pPr>
      <w:r>
        <w:t xml:space="preserve">10. Code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R/simulate.R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simulate_one_study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make_rct_summary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make_pp_summary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R/scenarios.R</w:t>
      </w:r>
      <w:r>
        <w:t xml:space="preserve"> </w:t>
      </w:r>
      <w:r>
        <w:t xml:space="preserve">— category</w:t>
      </w:r>
      <w:r>
        <w:t xml:space="preserve"> </w:t>
      </w:r>
      <w:r>
        <w:rPr>
          <w:rStyle w:val="VerbatimChar"/>
        </w:rPr>
        <w:t xml:space="preserve">U</w:t>
      </w:r>
      <w:r>
        <w:t xml:space="preserve">, constants</w:t>
      </w:r>
      <w:r>
        <w:t xml:space="preserve"> </w:t>
      </w:r>
      <w:r>
        <w:rPr>
          <w:rStyle w:val="VerbatimChar"/>
        </w:rPr>
        <w:t xml:space="preserve">U_CORES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U_ADD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U_RHO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R/plots.R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paper_panels()</w:t>
      </w:r>
      <w:r>
        <w:t xml:space="preserve">, internal</w:t>
      </w:r>
      <w:r>
        <w:t xml:space="preserve"> </w:t>
      </w:r>
      <w:r>
        <w:rPr>
          <w:rStyle w:val="VerbatimChar"/>
        </w:rPr>
        <w:t xml:space="preserve">.u_theory</w:t>
      </w:r>
      <w:r>
        <w:t xml:space="preserve"> </w:t>
      </w:r>
      <w:r>
        <w:t xml:space="preserve">(equation 6.5) and</w:t>
      </w:r>
      <w:r>
        <w:t xml:space="preserve"> </w:t>
      </w:r>
      <w:r>
        <w:rPr>
          <w:rStyle w:val="VerbatimChar"/>
        </w:rPr>
        <w:t xml:space="preserve">.u_ceiling</w:t>
      </w:r>
      <w:r>
        <w:t xml:space="preserve"> </w:t>
      </w:r>
      <w:r>
        <w:t xml:space="preserve">(equation 5.2)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Per-study information by study design: derivation</dc:title>
  <dc:creator/>
  <cp:keywords/>
  <dcterms:created xsi:type="dcterms:W3CDTF">2026-08-12T16:00:59Z</dcterms:created>
  <dcterms:modified xsi:type="dcterms:W3CDTF">2026-08-12T16:00:59Z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Supporting the exchange-rate panel (category U) of the metadid simulation study</vt:lpwstr>
  </property>
</Properties>
</file>