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A Meta-analysis of Longevity Estimates of Mosquito Vectors of Disease</w:t>
      </w:r>
    </w:p>
    <w:p>
      <w:pPr>
        <w:pStyle w:val="TextBody"/>
        <w:rPr/>
      </w:pPr>
      <w:r>
        <w:rPr/>
        <w:t>Ben Lambert</w:t>
      </w:r>
      <w:r>
        <w:rPr>
          <w:vertAlign w:val="superscript"/>
        </w:rPr>
        <w:t>1,2</w:t>
      </w:r>
      <w:r>
        <w:rPr/>
        <w:t>, Ace North</w:t>
      </w:r>
      <w:r>
        <w:rPr>
          <w:vertAlign w:val="superscript"/>
        </w:rPr>
        <w:t>1</w:t>
      </w:r>
      <w:r>
        <w:rPr/>
        <w:t xml:space="preserve"> &amp; H. Charles J. Godfray</w:t>
      </w:r>
      <w:r>
        <w:rPr>
          <w:vertAlign w:val="superscript"/>
        </w:rPr>
        <w:t>1</w:t>
      </w:r>
    </w:p>
    <w:p>
      <w:pPr>
        <w:pStyle w:val="TextBody"/>
        <w:rPr/>
      </w:pPr>
      <w:r>
        <w:rPr>
          <w:vertAlign w:val="superscript"/>
        </w:rPr>
        <w:t>1</w:t>
      </w:r>
      <w:r>
        <w:rPr/>
        <w:t xml:space="preserve"> Department of Zoology, University of Oxford, South Parks Road, Oxford OX1 3PS, United Kingdom</w:t>
      </w:r>
    </w:p>
    <w:p>
      <w:pPr>
        <w:pStyle w:val="TextBody"/>
        <w:rPr/>
      </w:pPr>
      <w:r>
        <w:rPr/>
        <w:t>Corresponding author:</w:t>
      </w:r>
    </w:p>
    <w:p>
      <w:pPr>
        <w:pStyle w:val="TextBody"/>
        <w:rPr/>
      </w:pPr>
      <w:r>
        <w:rPr/>
        <w:t>Phone: 01865 271176</w:t>
      </w:r>
    </w:p>
    <w:p>
      <w:pPr>
        <w:pStyle w:val="TextBody"/>
        <w:rPr/>
      </w:pPr>
      <w:r>
        <w:rPr>
          <w:vertAlign w:val="superscript"/>
        </w:rPr>
        <w:t>2</w:t>
      </w:r>
      <w:r>
        <w:rPr/>
        <w:t xml:space="preserve"> Present address: MRC Centre for Outbreak Analysis and Modelling, Infectious Disease Epidemiology, Imperial College London, London W2 1PG, UK.</w:t>
      </w:r>
    </w:p>
    <w:p>
      <w:pPr>
        <w:pStyle w:val="Heading1"/>
        <w:rPr/>
      </w:pPr>
      <w:bookmarkStart w:id="0" w:name="abstract"/>
      <w:bookmarkEnd w:id="0"/>
      <w:r>
        <w:rPr/>
        <w:t>Abstract</w:t>
      </w:r>
    </w:p>
    <w:p>
      <w:pPr>
        <w:pStyle w:val="FirstParagraph"/>
        <w:rPr/>
      </w:pPr>
      <w:r>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compile then analyse a database of 131 dissection studies to produce the first ever species- and genus-level estimates of mosquito lifespan. Due to the assumptions required to analyse the field data, we term our estimates lower bounds on lifespan (LBL). Notably, for the major African malaria vector </w:t>
      </w:r>
      <w:r>
        <w:rPr>
          <w:i/>
        </w:rPr>
        <w:t>Anopheles gambiae s.l.</w:t>
      </w:r>
      <w:r>
        <w:rPr/>
        <w:t xml:space="preserve">, we estimate LBLs of 4.5 days (mean estimate; 25%-75% CI: 3.8-5.1 days for unfed female mosquitoes from the MRR analysis) and 9.5 days (mean estimate; 25%-75% CI: 5.2-11.0 days from the dissection analysis); and an LBL of 4.3 days (mean estimate; 25%-75% CI: 3.6-4.8 days, only present in the MRR database) for the predominantly East-African vector </w:t>
      </w:r>
      <w:r>
        <w:rPr>
          <w:i/>
        </w:rPr>
        <w:t>A. funestus s.l</w:t>
      </w:r>
      <w:r>
        <w:rPr/>
        <w:t xml:space="preserve">. We estimate LBLs of 7.0 days (mean estimate; 25%-75% CI: 4.5-8.5 days from the MRR analysis) and 5.0 days (mean estimate; 25%-75% CI: 3.5-5.1 days from the dissection analysis) for </w:t>
      </w:r>
      <w:r>
        <w:rPr>
          <w:i/>
        </w:rPr>
        <w:t>Aedes aegypti</w:t>
      </w:r>
      <w:r>
        <w:rPr/>
        <w:t xml:space="preserve">; and 12.1 days (mean estimate; 25%-75% CI: 10.0-13.7 days from the MRR analysis) for </w:t>
      </w:r>
      <w:r>
        <w:rPr>
          <w:i/>
        </w:rPr>
        <w:t>Ae.</w:t>
      </w:r>
      <w:r>
        <w:rPr/>
        <w:t xml:space="preserve"> </w:t>
      </w:r>
      <w:r>
        <w:rPr>
          <w:i/>
        </w:rPr>
        <w:t>albopictus</w:t>
      </w:r>
      <w:r>
        <w:rPr/>
        <w:t xml:space="preserve"> – the predominant vectors of dengue fever, chikungunya and Zika. Our estimates indicate that there is significant variation in lifespan across species, with most variation explained by differences between genera. In correspondence with laboratory studies, we estimate that female mosquitoes outlive males by 1.2 days on average (mean estimate; 25%-75% CI: 0.3-1.6 days). We fit models incorporating mosquito senescence to the data, which allows us to assess evidence for age-dependent mortality in mosquitoes across different species. We determine that 8 of 33 species included in the MRR database indicated evidence for senescence, versus only 2 of 25 species from the dissection database.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Heading1"/>
        <w:rPr/>
      </w:pPr>
      <w:bookmarkStart w:id="1" w:name="author-summary"/>
      <w:bookmarkEnd w:id="1"/>
      <w:r>
        <w:rPr/>
        <w:t>Author summary</w:t>
      </w:r>
    </w:p>
    <w:p>
      <w:pPr>
        <w:pStyle w:val="FirstParagraph"/>
        <w:rPr/>
      </w:pPr>
      <w:r>
        <w:rPr/>
        <w:t>Mosquitoes transmit some of the most important diseases afflicting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which estimate wild mosquito lifespan: mark-release-recapture studies, where mosquitoes are marked with a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Heading1"/>
        <w:rPr/>
      </w:pPr>
      <w:bookmarkStart w:id="2" w:name="author-contributions"/>
      <w:bookmarkEnd w:id="2"/>
      <w:r>
        <w:rPr/>
        <w:t>Author contributions</w:t>
      </w:r>
    </w:p>
    <w:p>
      <w:pPr>
        <w:pStyle w:val="FirstParagraph"/>
        <w:rPr/>
      </w:pPr>
      <w:r>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Heading1"/>
        <w:rPr/>
      </w:pPr>
      <w:bookmarkStart w:id="3" w:name="keywords"/>
      <w:bookmarkEnd w:id="3"/>
      <w:r>
        <w:rPr/>
        <w:t>Keywords</w:t>
      </w:r>
    </w:p>
    <w:p>
      <w:pPr>
        <w:pStyle w:val="FirstParagraph"/>
        <w:rPr/>
      </w:pPr>
      <w:r>
        <w:rPr/>
        <w:t>mosquitoes, mortality, senescence, mark-release-recapture, vector-borne disease, Bayesian, hierarchical model.</w:t>
      </w:r>
    </w:p>
    <w:p>
      <w:pPr>
        <w:pStyle w:val="Heading1"/>
        <w:rPr/>
      </w:pPr>
      <w:bookmarkStart w:id="4" w:name="introduction"/>
      <w:bookmarkEnd w:id="4"/>
      <w:r>
        <w:rPr/>
        <w:t>Introduction</w:t>
      </w:r>
    </w:p>
    <w:p>
      <w:pPr>
        <w:pStyle w:val="FirstParagraph"/>
        <w:rPr/>
      </w:pPr>
      <w:r>
        <w:rPr/>
        <w:t>Some of the most important infectious diseases afflicting humans are transmitted by mosquitoes (Gates, 2014), including pathogens such as the causative agent of malaria that have been associated with humans throughout our evolutionary history (Carter et al., 2002) as well recently emergent infections such as the Zika virus (WHO,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et al., 1957). Lifespan can of course be straightforwardly assessed in the laboratory, but it is generally accepted that measurements under relatively benign laboratory conditions are likely to have limited relevance in the field, and much effort has been directed at estimating this parameter in the vector’s natural environment (Clements and Patterson,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Patterson, 1981; Harrington et al., 2008; Hugo et al., 2014).</w:t>
      </w:r>
    </w:p>
    <w:p>
      <w:pPr>
        <w:pStyle w:val="TextBody"/>
        <w:rPr/>
      </w:pPr>
      <w:r>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efforts are made to recapture them, for example using human baits or light traps, usually over an extended period of time. Mortality rates can be statistically estimated from the numbers of recaptures given certain assumptions (Silver, 2007). The main challenges with MRR is ensuring the marking technique does not affect recapture probability, and distinguishing mortality from mosquitoes dispersing out of range of being recaptured. Also, releasing insects that can transmit disease (especially if this increases ambient population levels) raises important ethical issues.</w:t>
      </w:r>
    </w:p>
    <w:p>
      <w:pPr>
        <w:pStyle w:val="TextBody"/>
        <w:rPr/>
      </w:pPr>
      <w:r>
        <w:rPr/>
        <w:t>The second technique is specific to mosquitoes and makes use of their gonotrophic cycle (Polovodova, 1949; Detinova, 1962).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Data on the fraction of females that have oviposited provides some information about mortality rates. However, a 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pPr>
        <w:pStyle w:val="TextBody"/>
        <w:rPr/>
      </w:pPr>
      <w:r>
        <w:rPr/>
        <w:t xml:space="preserve">An issue with both methods is that they require logistically difficult and expensive field campaigns. There is thus value in conducting a meta-analysis of existing data to explore consistency across studies, identify correlates of lifespan and to learn lessons for further studies. Here we analyse data from 232 MRR and 131 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Pr>
          <w:i/>
        </w:rPr>
        <w:t>Anopheles, Aedes</w:t>
      </w:r>
      <w:r>
        <w:rPr/>
        <w:t xml:space="preserve"> (in its traditional sense) and </w:t>
      </w:r>
      <w:r>
        <w:rPr>
          <w:i/>
        </w:rPr>
        <w:t>Culex</w:t>
      </w:r>
      <w:r>
        <w:rPr/>
        <w:t>, which constitute the majority of the data.</w:t>
      </w:r>
    </w:p>
    <w:p>
      <w:pPr>
        <w:pStyle w:val="Heading1"/>
        <w:rPr/>
      </w:pPr>
      <w:bookmarkStart w:id="5" w:name="results"/>
      <w:bookmarkEnd w:id="5"/>
      <w:r>
        <w:rPr/>
        <w:t>Results</w:t>
      </w:r>
    </w:p>
    <w:p>
      <w:pPr>
        <w:pStyle w:val="FirstParagraph"/>
        <w:rPr/>
      </w:pPr>
      <w:r>
        <w:rPr/>
        <w:t>MRR estimates the length of time a mosquito remains alive and is still in the area available for recapture. In dissections of females, the majority of ovarioles have fewer dilations than the number of gonotrophic cycles an individual has experienced, also meaning that estimates derived from these data likely understand true physiological age (Hugo et al., 2008). It is unclear which of these methods leads to lower estimates but in both cases we term our estimates lower bounds on lifespan, which we shall refer to as LBL.</w:t>
      </w:r>
    </w:p>
    <w:p>
      <w:pPr>
        <w:pStyle w:val="Heading2"/>
        <w:rPr/>
      </w:pPr>
      <w:bookmarkStart w:id="6" w:name="lifespan-estimates-from-mrr"/>
      <w:bookmarkEnd w:id="6"/>
      <w:r>
        <w:rPr/>
        <w:t>Lifespan estimates from MRR</w:t>
      </w:r>
    </w:p>
    <w:p>
      <w:pPr>
        <w:pStyle w:val="FirstParagraph"/>
        <w:rPr/>
      </w:pPr>
      <w:r>
        <w:rPr/>
        <w:t xml:space="preserve">In 187 of the 230 MRR time series the estimated LBL was less than 10 days (Fig. [fig:mrr_lifespan_individualEstimates]). The smallest estimate was 1.1 days for the Asian malaria vector </w:t>
      </w:r>
      <w:r>
        <w:rPr>
          <w:i/>
        </w:rPr>
        <w:t>Anopheles subpictus s.l.</w:t>
      </w:r>
      <w:r>
        <w:rPr/>
        <w:t xml:space="preserve"> which is unfeasibly short and almost certainly reflects dispersal out of the recapture zone or a violation of the assumptions of our analyses. The longest estimate was 26.9 days for the temperate species </w:t>
      </w:r>
      <w:r>
        <w:rPr>
          <w:i/>
        </w:rPr>
        <w:t>Aedes simpsoni s.l.</w:t>
      </w:r>
      <w:r>
        <w:rPr/>
        <w:t xml:space="preserve"> which is a vector of yellow fever in Africa. There are multiple data sets for the most important vector species such as </w:t>
      </w:r>
      <w:r>
        <w:rPr>
          <w:i/>
        </w:rPr>
        <w:t>Anopheles gambiae, Aedes aegypti</w:t>
      </w:r>
      <w:r>
        <w:rPr/>
        <w:t xml:space="preserve"> and </w:t>
      </w:r>
      <w:r>
        <w:rPr>
          <w:i/>
        </w:rPr>
        <w:t>albopictus</w:t>
      </w:r>
      <w:r>
        <w:rPr/>
        <w:t xml:space="preserve"> and </w:t>
      </w:r>
      <w:r>
        <w:rPr>
          <w:i/>
        </w:rPr>
        <w:t>Culex tarsalis</w:t>
      </w:r>
      <w:r>
        <w:rPr/>
        <w:t xml:space="preserve"> all of which show considerable variation. For example, there are 54 estimates of LBL for </w:t>
      </w:r>
      <w:r>
        <w:rPr>
          <w:i/>
        </w:rPr>
        <w:t>Ae. aegypti</w:t>
      </w:r>
      <w:r>
        <w:rPr/>
        <w:t xml:space="preserve"> which range from 2.5 days to 42.1 days with a mean of 11.4 days and coefficient of variation of 0.6 (all estimates are posterior mean). There were significant differences in LBL amongst species (ANOVA on median LBL controlling for sex and pre-release feeding: </w:t>
      </w:r>
      <w:r>
        <w:rPr>
          <w:i/>
        </w:rPr>
        <w:t>F</w:t>
      </w:r>
      <w:r>
        <w:rPr>
          <w:vertAlign w:val="subscript"/>
        </w:rPr>
        <w:t>37,194</w:t>
      </w:r>
      <w:r>
        <w:rPr/>
        <w:t xml:space="preserve"> = 2.5, </w:t>
      </w:r>
      <w:r>
        <w:rPr>
          <w:i/>
        </w:rPr>
        <w:t>p</w:t>
      </w:r>
      <w:r>
        <w:rPr/>
        <w:t xml:space="preserve"> &lt;0.01; the non-parametric Kruskal Wallace: </w:t>
      </w:r>
      <w:r>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38</m:t>
            </m:r>
          </m:sub>
        </m:sSub>
      </m:oMath>
      <w:r>
        <w:rPr/>
        <w:t xml:space="preserve">, </w:t>
      </w:r>
      <w:r>
        <w:rPr>
          <w:i/>
        </w:rPr>
        <w:t>p</w:t>
      </w:r>
      <w:r>
        <w:rPr/>
        <w:t>&lt;0.01).</w:t>
      </w:r>
    </w:p>
    <w:p>
      <w:pPr>
        <w:pStyle w:val="TextBody"/>
        <w:rPr/>
      </w:pPr>
      <w:r>
        <w:rPr/>
        <w:t xml:space="preserve">Since female mosquitoes are most epidemiologically relevant, we start by discussing their estimated lifespan. Also, since the majority of mosquitoes were unfed with blood or sugar prior to release, unless otherwise stated, our estimates represent quantities for unfed mosquitoes. The estimated mean LBL for female mosquitoes for </w:t>
      </w:r>
      <w:r>
        <w:rPr>
          <w:i/>
        </w:rPr>
        <w:t>Culex, Anopheles</w:t>
      </w:r>
      <w:r>
        <w:rPr/>
        <w:t xml:space="preserve"> and </w:t>
      </w:r>
      <w:r>
        <w:rPr>
          <w:i/>
        </w:rPr>
        <w:t>Aedes</w:t>
      </w:r>
      <w:r>
        <w:rPr/>
        <w:t xml:space="preserve"> were 2.9, 6.8 and 8.1 days respectively with an overall estimate of 6.0 days (Fig. [fig:mrr_lifespans]; Table [S-tab:mrr_estimated_lifespans]). Differences between genera were significant (ANOVA on median LBL controlling for sex and pre-release feeding: </w:t>
      </w:r>
      <w:r>
        <w:rPr>
          <w:i/>
        </w:rPr>
        <w:t>F</w:t>
      </w:r>
      <w:r>
        <w:rPr>
          <w:vertAlign w:val="subscript"/>
        </w:rPr>
        <w:t>2,229</w:t>
      </w:r>
      <w:r>
        <w:rPr/>
        <w:t xml:space="preserve"> = 12.4, </w:t>
      </w:r>
      <w:r>
        <w:rPr>
          <w:i/>
        </w:rPr>
        <w:t>p</w:t>
      </w:r>
      <w:r>
        <w:rPr/>
        <w:t xml:space="preserve">&lt;0.01; Kruskal Wallace: </w:t>
      </w:r>
      <w:r>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m:t>
            </m:r>
          </m:sub>
        </m:sSub>
        <m:r>
          <w:rPr>
            <w:rFonts w:ascii="Cambria Math" w:hAnsi="Cambria Math"/>
          </w:rPr>
          <m:t xml:space="preserve">=</m:t>
        </m:r>
        <m:r>
          <w:rPr>
            <w:rFonts w:ascii="Cambria Math" w:hAnsi="Cambria Math"/>
          </w:rPr>
          <m:t xml:space="preserve">30.8</m:t>
        </m:r>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0.01</m:t>
        </m:r>
      </m:oMath>
      <w:r>
        <w:rPr/>
        <w:t xml:space="preserve">). </w:t>
      </w:r>
      <w:r>
        <w:rPr>
          <w:i/>
        </w:rPr>
        <w:t>K</w:t>
      </w:r>
      <w:r>
        <w:rPr/>
        <w:t>-fold cross validation suggests that after the effect of genus is accounted for the incorporation of a species term provides little predictive power (Fig. [S-fig:mrr_genusTopLevel]; in part explained by the latter model over-fitting the data where there are few time series per species).</w:t>
      </w:r>
    </w:p>
    <w:p>
      <w:pPr>
        <w:pStyle w:val="TextBody"/>
        <w:rPr/>
      </w:pPr>
      <w:r>
        <w:rPr/>
        <w:t>We reasoned that if dispersal out of the recapture area was reducing the LBL below the true lifespan then there should be a positive correlation between the spatial extent of the recapture zone and LBL. We found no such pattern (Fig. [S-fig:mrr_lifeSpanVsRange]), although there was a positive correlation between LBL and trap density (Fig. [S-fig:mrr_lifeSpanVsTrapDensity]).</w:t>
      </w:r>
    </w:p>
    <w:p>
      <w:pPr>
        <w:pStyle w:val="TextBody"/>
        <w:rPr/>
      </w:pPr>
      <w:r>
        <w:rPr/>
        <w:t xml:space="preserve">The MRR experiments included a mixture of male-only and female-only releases, and releases of both sexes. We estimated average male and female LBL at the genus level (Fig. [fig:mrr_sexDifferences_without_sugar_nor_blood]; there were too few studies to make comparisons at the species level). There was a consistent trend for females to live longer than males for each of the genera, with the difference largest for </w:t>
      </w:r>
      <w:r>
        <w:rPr>
          <w:i/>
        </w:rPr>
        <w:t>Aedes</w:t>
      </w:r>
      <w:r>
        <w:rPr/>
        <w:t xml:space="preserve"> (2.9 days; fraction of pairwise posterior samples of females versus males where difference was less than zero, p&lt;0.01), followed by </w:t>
      </w:r>
      <w:r>
        <w:rPr>
          <w:i/>
        </w:rPr>
        <w:t>Anopheles</w:t>
      </w:r>
      <w:r>
        <w:rPr/>
        <w:t xml:space="preserve"> (2.2 days; p=0.17) and </w:t>
      </w:r>
      <w:r>
        <w:rPr>
          <w:i/>
        </w:rPr>
        <w:t>Culex</w:t>
      </w:r>
      <w:r>
        <w:rPr/>
        <w:t xml:space="preserve"> (0.2 days; p=0.34). Overall, female mosquitoes were estimated to live 1.2 days longer than males (p=0.10).</w:t>
      </w:r>
    </w:p>
    <w:p>
      <w:pPr>
        <w:pStyle w:val="TextBody"/>
        <w:rPr/>
      </w:pPr>
      <w:r>
        <w:rPr/>
        <w:t>The MRR experiments included information on whether mosquitoes were pre-fed with sugar (41 time series), blood (71), both (4) or alternatively unfed (116). We estimate that female mosquitoes that were fed on sugar pre-release lived on average for 1.0 days (posterior mean) longer than those that were not fed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0.05</m:t>
        </m:r>
      </m:oMath>
      <w:r>
        <w:rPr/>
        <w:t xml:space="preserve">; Fig. [S-fig:mrr_female_blood_sugar]; a pattern that was consistent across the genera). There were insufficient males that were either fed or unfed with sugar prior to release to make a meaningful comparison. Females that were blood-fed prior to release on average lived 1.7 days (posterior mean) longer than those who were not fed for </w:t>
      </w:r>
      <w:r>
        <w:rPr>
          <w:i/>
        </w:rPr>
        <w:t>Aedes</w:t>
      </w:r>
      <w:r>
        <w:rPr/>
        <w:t xml:space="preserve"> but this trend was reversed for </w:t>
      </w:r>
      <w:r>
        <w:rPr>
          <w:i/>
        </w:rPr>
        <w:t>Anopheles</w:t>
      </w:r>
      <w:r>
        <w:rPr/>
        <w:t xml:space="preserve"> meaning that there was little difference overall (0.15 days; posterior mean;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0.44</m:t>
        </m:r>
      </m:oMath>
      <w:r>
        <w:rPr/>
        <w:t>).</w:t>
      </w:r>
    </w:p>
    <w:p>
      <w:pPr>
        <w:pStyle w:val="TextBody"/>
        <w:rPr/>
      </w:pPr>
      <w:r>
        <w:rPr/>
        <w:t>To access whether temperature is associated with LBL we used weather records to calculate average temperatures at the MRR sites (see Methods). Using both linear and quadratic temperature terms in regressions, we found no significant relationship between study-site temperature and LBL (overall or within genus) for the 238 datasets we analysed (Fig. [S-fig:mrr_temperature]). This result held if, instead of pooling results from all time series, we considered the four species with the most data individually (</w:t>
      </w:r>
      <w:r>
        <w:rPr>
          <w:i/>
        </w:rPr>
        <w:t>Ae. aegypti</w:t>
      </w:r>
      <w:r>
        <w:rPr/>
        <w:t xml:space="preserve">, </w:t>
      </w:r>
      <w:r>
        <w:rPr>
          <w:i/>
        </w:rPr>
        <w:t>Cx. tarsalis</w:t>
      </w:r>
      <w:r>
        <w:rPr/>
        <w:t xml:space="preserve">, </w:t>
      </w:r>
      <w:r>
        <w:rPr>
          <w:i/>
        </w:rPr>
        <w:t>A. gambiae s.l.</w:t>
      </w:r>
      <w:r>
        <w:rPr/>
        <w:t xml:space="preserve"> and </w:t>
      </w:r>
      <w:r>
        <w:rPr>
          <w:i/>
        </w:rPr>
        <w:t>A. culicifacies s.l.</w:t>
      </w:r>
      <w:r>
        <w:rPr/>
        <w:t>; Fig. [S-fig:mrr_ThreeSpeciesVersusTemperature]).</w:t>
      </w:r>
    </w:p>
    <w:p>
      <w:pPr>
        <w:pStyle w:val="Heading2"/>
        <w:rPr/>
      </w:pPr>
      <w:bookmarkStart w:id="7" w:name="number-of-gonotrophic-cycles-estimates-from-dissection"/>
      <w:bookmarkEnd w:id="7"/>
      <w:r>
        <w:rPr/>
        <w:t>Number of gonotrophic cycles estimates from dissection</w:t>
      </w:r>
    </w:p>
    <w:p>
      <w:pPr>
        <w:pStyle w:val="FirstParagraph"/>
        <w:rPr/>
      </w:pPr>
      <w:r>
        <w:rPr/>
        <w:t xml:space="preserve">Dissection allows the number of completed gonotrophic cycles to be counted and from this the mean number of cycles before death was estimated. Across the 131 studies, 95% of the individual time series estimates were less than 3 gonotrophic cycles (Fig. [S-fig:dissection_individualEstimates_allSpecies]) and, overall, the mean number of cycles completed in a lifetime was 1.3 (posterior mean; Fig. [fig:dissection_lifetimes_exponential]; Table [S-tab:dissection_estimated_lifespans]). The estimated greatest number of cycles was for </w:t>
      </w:r>
      <w:r>
        <w:rPr>
          <w:i/>
        </w:rPr>
        <w:t>Anopheles sergentii</w:t>
      </w:r>
      <w:r>
        <w:rPr/>
        <w:t xml:space="preserve"> (3.0 cycles; posterior mean) which is adapted to desert conditions (it is known as the “oasis vector” of malaria) and may have evolved greater longevity. The important African malaria vector </w:t>
      </w:r>
      <w:r>
        <w:rPr>
          <w:i/>
        </w:rPr>
        <w:t>A. gambiae s.l.</w:t>
      </w:r>
      <w:r>
        <w:rPr/>
        <w:t xml:space="preserve"> was estimated to be the second longest living (2.4 cycles; posterior mean). The smallest estimated mean number of gonotrophic cycles was for </w:t>
      </w:r>
      <w:r>
        <w:rPr>
          <w:i/>
        </w:rPr>
        <w:t>Anopheles</w:t>
      </w:r>
      <w:r>
        <w:rPr/>
        <w:t xml:space="preserve"> </w:t>
      </w:r>
      <w:r>
        <w:rPr>
          <w:i/>
        </w:rPr>
        <w:t>bellator</w:t>
      </w:r>
      <w:r>
        <w:rPr/>
        <w:t xml:space="preserve"> (0.6 cycles; posterior mean) which transmits malaria in Brazil’s Atlantic Forest. There were significant differences in estimated lifetime gonotrophic cycles amongst species (ANOVA: </w:t>
      </w:r>
      <w:r>
        <w:rPr>
          <w:i/>
        </w:rPr>
        <w:t>F</w:t>
      </w:r>
      <w:r>
        <w:rPr>
          <w:vertAlign w:val="subscript"/>
        </w:rPr>
        <w:t>24,106</w:t>
      </w:r>
      <w:r>
        <w:rPr/>
        <w:t xml:space="preserve"> =2.2, </w:t>
      </w:r>
      <w:r>
        <w:rPr>
          <w:i/>
        </w:rPr>
        <w:t>p</w:t>
      </w:r>
      <w:r>
        <w:rPr/>
        <w:t xml:space="preserve"> &lt;0.01; the non-parametric Kruskal Wallace: </w:t>
      </w:r>
      <w:r>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oMath>
      <w:r>
        <w:rPr/>
        <w:t xml:space="preserve">, </w:t>
      </w:r>
      <w:r>
        <w:rPr>
          <w:i/>
        </w:rPr>
        <w:t>p</w:t>
      </w:r>
      <w:r>
        <w:rPr/>
        <w:t>&lt;0.01).</w:t>
      </w:r>
    </w:p>
    <w:p>
      <w:pPr>
        <w:pStyle w:val="TextBody"/>
        <w:rPr/>
      </w:pPr>
      <w:r>
        <w:rPr/>
        <w:t xml:space="preserve">The estimated lifetime gonotrophic cycles for the different genera were </w:t>
      </w:r>
      <w:r>
        <w:rPr>
          <w:i/>
        </w:rPr>
        <w:t>Anopheles,</w:t>
      </w:r>
      <w:r>
        <w:rPr/>
        <w:t xml:space="preserve"> 1.6; </w:t>
      </w:r>
      <w:r>
        <w:rPr>
          <w:i/>
        </w:rPr>
        <w:t>Culex,</w:t>
      </w:r>
      <w:r>
        <w:rPr/>
        <w:t xml:space="preserve"> 1.2; </w:t>
      </w:r>
      <w:r>
        <w:rPr>
          <w:i/>
        </w:rPr>
        <w:t>Mansonia</w:t>
      </w:r>
      <w:r>
        <w:rPr/>
        <w:t xml:space="preserve">, 1.1; and </w:t>
      </w:r>
      <w:r>
        <w:rPr>
          <w:i/>
        </w:rPr>
        <w:t>Aedes</w:t>
      </w:r>
      <w:r>
        <w:rPr/>
        <w:t xml:space="preserve"> 0.8 (Fig. [fig:dissection_lifetimes_exponential]; Table [S-tab:dissection_estimated_lifespans]) and the differences between the genera were significant (ANOVA: </w:t>
      </w:r>
      <w:r>
        <w:rPr>
          <w:i/>
        </w:rPr>
        <w:t>F</w:t>
      </w:r>
      <w:r>
        <w:rPr>
          <w:vertAlign w:val="subscript"/>
        </w:rPr>
        <w:t>3,127</w:t>
      </w:r>
      <w:r>
        <w:rPr/>
        <w:t xml:space="preserve"> =3.4, </w:t>
      </w:r>
      <w:r>
        <w:rPr>
          <w:i/>
        </w:rPr>
        <w:t>p</w:t>
      </w:r>
      <w:r>
        <w:rPr/>
        <w:t xml:space="preserve"> =0.02; the non-parametric Kruskal Wallace: </w:t>
      </w:r>
      <w:r>
        <w:rPr/>
      </w:r>
      <m:oMath xmlns:m="http://schemas.openxmlformats.org/officeDocument/2006/math">
        <m:sSubSup>
          <m:e>
            <m:r>
              <w:rPr>
                <w:rFonts w:ascii="Cambria Math" w:hAnsi="Cambria Math"/>
              </w:rPr>
              <m:t xml:space="preserve">χ</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r>
          <w:rPr>
            <w:rFonts w:ascii="Cambria Math" w:hAnsi="Cambria Math"/>
          </w:rPr>
          <m:t xml:space="preserve">21.7</m:t>
        </m:r>
      </m:oMath>
      <w:r>
        <w:rPr/>
        <w:t xml:space="preserve">, </w:t>
      </w:r>
      <w:r>
        <w:rPr>
          <w:i/>
        </w:rPr>
        <w:t>p</w:t>
      </w:r>
      <w:r>
        <w:rPr/>
        <w:t>&lt;0.01).</w:t>
      </w:r>
    </w:p>
    <w:p>
      <w:pPr>
        <w:pStyle w:val="Heading2"/>
        <w:rPr/>
      </w:pPr>
      <w:bookmarkStart w:id="8" w:name="comparison-of-longevity-estimates-from-two-methods"/>
      <w:bookmarkEnd w:id="8"/>
      <w:r>
        <w:rPr/>
        <w:t>Comparison of longevity estimates from two methods</w:t>
      </w:r>
    </w:p>
    <w:p>
      <w:pPr>
        <w:pStyle w:val="FirstParagraph"/>
        <w:rPr/>
      </w:pPr>
      <w:r>
        <w:rPr/>
        <w:t xml:space="preserve">Using the data collected from a literature search, we estimated that the first gonotrophic cycle duration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[S-tab:dissection_estimated_lifespans_chron] provides posterior summaries of chronological for the species and genera in the dissection dataset (see also Fig. [S-fig:dissection_lifetimes_exponential_chron]). For ten species, we had enough data from both species to make a comparison, and there was a positive correlation (not statistically significant; Pearson correlation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0.42</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0.23</m:t>
        </m:r>
      </m:oMath>
      <w:r>
        <w:rPr/>
        <w:t xml:space="preserve">) between the two measures (Fig. [fig:comparison]), and in only one case – for </w:t>
      </w:r>
      <w:r>
        <w:rPr>
          <w:i/>
        </w:rPr>
        <w:t>A. darlingi</w:t>
      </w:r>
      <w:r>
        <w:rPr/>
        <w:t xml:space="preserve"> - there was a significant difference in the time-series level LBLs (Table [S-tab:comparison]).</w:t>
      </w:r>
    </w:p>
    <w:p>
      <w:pPr>
        <w:pStyle w:val="Heading2"/>
        <w:rPr/>
      </w:pPr>
      <w:bookmarkStart w:id="9" w:name="evidence-for-age-dependent-mortality"/>
      <w:bookmarkEnd w:id="9"/>
      <w:r>
        <w:rPr/>
        <w:t>Evidence for age-dependent mortality</w:t>
      </w:r>
    </w:p>
    <w:p>
      <w:pPr>
        <w:pStyle w:val="FirstParagraph"/>
        <w:rPr/>
      </w:pPr>
      <w:r>
        <w:rPr/>
        <w:t>The survival model upon which the above analyses are based is the single-parameter exponential model which assumes an age-invariant mortality hazard. We also fitted five multi-parameter models that allow, in different ways, mortality to vary with age. We did this to maximise our chance of detecting age-varying mortality (though aware of the risks of false positives with multiple estimations).</w:t>
      </w:r>
    </w:p>
    <w:p>
      <w:pPr>
        <w:pStyle w:val="TextBody"/>
        <w:rPr/>
      </w:pPr>
      <w:r>
        <w:rPr/>
        <w:t xml:space="preserve">In Fig. [fig:mrr_elpd], we compare the performance of the six models for describing lifespan in MRR studies of 33 species using K-fold cross-validation.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the vector of dengue fever, Zika and chikungunya, </w:t>
      </w:r>
      <w:r>
        <w:rPr>
          <w:i/>
        </w:rPr>
        <w:t>Ae. Aegypti</w:t>
      </w:r>
      <w:r>
        <w:rPr/>
        <w:t>. These studies also tended to include multiple release MRR studies which, on average, were conducted over a longer period of time than the others, which may be why we failed to detect age-dependence in the latter (Fig [S-fig:mrr_mcPowerAnalysis_senescence]).</w:t>
      </w:r>
    </w:p>
    <w:p>
      <w:pPr>
        <w:pStyle w:val="TextBody"/>
        <w:rPr/>
      </w:pPr>
      <w:r>
        <w:rPr/>
        <w:t xml:space="preserve">In Fig. [fig:dissection_elpd], we compare the performance of the six models for describing lifespan in dissection studies of 25 species using K-fold cross-validation, and categorise the evidence in the same way as for the MRR analysis. By our metric, we determined that there were only two species with evidence for age-dependent mortality (the major African malaria vector </w:t>
      </w:r>
      <w:r>
        <w:rPr>
          <w:i/>
        </w:rPr>
        <w:t>A. gambiae s.l.</w:t>
      </w:r>
      <w:r>
        <w:rPr/>
        <w:t xml:space="preserve"> and </w:t>
      </w:r>
      <w:r>
        <w:rPr>
          <w:i/>
        </w:rPr>
        <w:t>A. minimus</w:t>
      </w:r>
      <w:r>
        <w:rPr/>
        <w:t>, a malaria vector in Asia).</w:t>
      </w:r>
    </w:p>
    <w:p>
      <w:pPr>
        <w:pStyle w:val="TextBody"/>
        <w:rPr/>
      </w:pPr>
      <w:r>
        <w:rPr/>
        <w:t>Overall, we conclude that there is mixed evidence for age-dependent mortality from studies of mosquitoes in the field. It is possible that some of the sampled mosquito species did not live long enough in the wild to experience physiological decline. A Spearman’s rank correlation test indicated that there was a correlation between the ranked estimated LBLs of the species and the ranked mean predictive accuracy of age-dependent models for the MRR analysis (</w:t>
      </w:r>
      <w:r>
        <w:rPr/>
      </w:r>
      <m:oMath xmlns:m="http://schemas.openxmlformats.org/officeDocument/2006/math">
        <m:r>
          <w:rPr>
            <w:rFonts w:ascii="Cambria Math" w:hAnsi="Cambria Math"/>
          </w:rPr>
          <m:t xml:space="preserve">ρ</m:t>
        </m:r>
      </m:oMath>
      <w:r>
        <w:rPr/>
        <w:t>=0.19, p=0.01), however was not significant for the dissection analysis (</w:t>
      </w:r>
      <w:r>
        <w:rPr/>
      </w:r>
      <m:oMath xmlns:m="http://schemas.openxmlformats.org/officeDocument/2006/math">
        <m:r>
          <w:rPr>
            <w:rFonts w:ascii="Cambria Math" w:hAnsi="Cambria Math"/>
          </w:rPr>
          <m:t xml:space="preserve">ρ</m:t>
        </m:r>
      </m:oMath>
      <w:r>
        <w:rPr/>
        <w:t xml:space="preserve">=0.07, p=0.43). Similarly, a recent study determined that the degree of senescence varies according to season for semi-wild populations of </w:t>
      </w:r>
      <w:r>
        <w:rPr>
          <w:i/>
        </w:rPr>
        <w:t>Ae. aegypti</w:t>
      </w:r>
      <w:r>
        <w:rPr/>
        <w:t xml:space="preserve"> (Hugo et al., 2014), and it is possible that by pooling data from different geographies and seasons that we failed to detect age-dependent mortality in some cases.</w:t>
      </w:r>
    </w:p>
    <w:p>
      <w:pPr>
        <w:pStyle w:val="Heading2"/>
        <w:rPr/>
      </w:pPr>
      <w:bookmarkStart w:id="10" w:name="estimates-of-the-fraction-mosquitoes-capable-of-transmitting-disease"/>
      <w:bookmarkEnd w:id="10"/>
      <w:r>
        <w:rPr/>
        <w:t>Estimates of the fraction mosquitoes capable of transmitting disease</w:t>
      </w:r>
    </w:p>
    <w:p>
      <w:pPr>
        <w:pStyle w:val="FirstParagraph"/>
        <w:rPr/>
      </w:pPr>
      <w:r>
        <w:rPr/>
        <w:t>We can use the posterior parameter estimates from our Bayesian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[fig:eip], we plot the fraction of the mosquito population that pass this threshold using estimates from both MRR and dissection studies for vector species (see SOM for references used to identify species as vectors) and their most significant diseases.</w:t>
      </w:r>
    </w:p>
    <w:p>
      <w:pPr>
        <w:pStyle w:val="TextBody"/>
        <w:rPr/>
      </w:pPr>
      <w:r>
        <w:rPr/>
        <w:t xml:space="preserve">For malaria, estimates of the minimum fraction of the population that can transmit the disease vary from &lt;0.1% for </w:t>
      </w:r>
      <w:r>
        <w:rPr>
          <w:i/>
        </w:rPr>
        <w:t>A. subpictus</w:t>
      </w:r>
      <w:r>
        <w:rPr/>
        <w:t xml:space="preserve"> (posterior median; from the MRR analysis, as noted above likely to be due to the LBL substantially underestimating lifespan) to 52% (posterior median) for the drought-adapted and long-lived </w:t>
      </w:r>
      <w:r>
        <w:rPr>
          <w:i/>
        </w:rPr>
        <w:t>A sergentii.</w:t>
      </w:r>
      <w:r>
        <w:rPr/>
        <w:t xml:space="preserve"> The proportions surviving long enough to become infectious for </w:t>
      </w:r>
      <w:r>
        <w:rPr>
          <w:i/>
        </w:rPr>
        <w:t>A. gambiae s.l.</w:t>
      </w:r>
      <w:r>
        <w:rPr/>
        <w:t xml:space="preserve">: 10% (MRR) and 27% (dissection); and for </w:t>
      </w:r>
      <w:r>
        <w:rPr>
          <w:i/>
        </w:rPr>
        <w:t>A. funestus s.l.</w:t>
      </w:r>
      <w:r>
        <w:rPr/>
        <w:t xml:space="preserve">: 9% (MRR). Using the individual time series estimates, there evidence for a difference in EIP between the species (Kruskal-Wallis used due to non-normality of data; MRR: </w:t>
      </w:r>
      <w:r>
        <w:rPr/>
      </w:r>
      <m:oMath xmlns:m="http://schemas.openxmlformats.org/officeDocument/2006/math">
        <m:sSubSup>
          <m:e>
            <m:r>
              <w:rPr>
                <w:rFonts w:ascii="Cambria Math" w:hAnsi="Cambria Math"/>
              </w:rPr>
              <m:t xml:space="preserve">χ</m:t>
            </m:r>
          </m:e>
          <m:sub>
            <m:r>
              <w:rPr>
                <w:rFonts w:ascii="Cambria Math" w:hAnsi="Cambria Math"/>
              </w:rPr>
              <m:t xml:space="preserve">14</m:t>
            </m:r>
          </m:sub>
          <m:sup>
            <m:r>
              <w:rPr>
                <w:rFonts w:ascii="Cambria Math" w:hAnsi="Cambria Math"/>
              </w:rPr>
              <m:t xml:space="preserve">2</m:t>
            </m:r>
          </m:sup>
        </m:sSubSup>
        <m:r>
          <w:rPr>
            <w:rFonts w:ascii="Cambria Math" w:hAnsi="Cambria Math"/>
          </w:rPr>
          <m:t xml:space="preserve">=</m:t>
        </m:r>
        <m:r>
          <w:rPr>
            <w:rFonts w:ascii="Cambria Math" w:hAnsi="Cambria Math"/>
          </w:rPr>
          <m:t xml:space="preserve">30.2</m:t>
        </m:r>
      </m:oMath>
      <w:r>
        <w:rPr/>
        <w:t xml:space="preserve">, </w:t>
      </w:r>
      <w:r>
        <w:rPr>
          <w:i/>
        </w:rPr>
        <w:t>p</w:t>
      </w:r>
      <w:r>
        <w:rPr/>
        <w:t xml:space="preserve"> &lt;0.01; dissection: </w:t>
      </w:r>
      <w:r>
        <w:rPr/>
      </w:r>
      <m:oMath xmlns:m="http://schemas.openxmlformats.org/officeDocument/2006/math">
        <m:sSubSup>
          <m:e>
            <m:r>
              <w:rPr>
                <w:rFonts w:ascii="Cambria Math" w:hAnsi="Cambria Math"/>
              </w:rPr>
              <m:t xml:space="preserve">χ</m:t>
            </m:r>
          </m:e>
          <m:sub>
            <m:r>
              <w:rPr>
                <w:rFonts w:ascii="Cambria Math" w:hAnsi="Cambria Math"/>
              </w:rPr>
              <m:t xml:space="preserve">11</m:t>
            </m:r>
          </m:sub>
          <m:sup>
            <m:r>
              <w:rPr>
                <w:rFonts w:ascii="Cambria Math" w:hAnsi="Cambria Math"/>
              </w:rPr>
              <m:t xml:space="preserve">2</m:t>
            </m:r>
          </m:sup>
        </m:sSubSup>
        <m:r>
          <w:rPr>
            <w:rFonts w:ascii="Cambria Math" w:hAnsi="Cambria Math"/>
          </w:rPr>
          <m:t xml:space="preserve">=</m:t>
        </m:r>
        <m:r>
          <w:rPr>
            <w:rFonts w:ascii="Cambria Math" w:hAnsi="Cambria Math"/>
          </w:rPr>
          <m:t xml:space="preserve">38.9</m:t>
        </m:r>
      </m:oMath>
      <w:r>
        <w:rPr/>
        <w:t>, p&lt;0.01).</w:t>
      </w:r>
    </w:p>
    <w:p>
      <w:pPr>
        <w:pStyle w:val="TextBody"/>
        <w:rPr/>
      </w:pPr>
      <w:r>
        <w:rPr>
          <w:i/>
        </w:rPr>
        <w:t>Ae. aegypti</w:t>
      </w:r>
      <w:r>
        <w:rPr/>
        <w:t xml:space="preserve"> and </w:t>
      </w:r>
      <w:r>
        <w:rPr>
          <w:i/>
        </w:rPr>
        <w:t>Ae. albopictus</w:t>
      </w:r>
      <w:r>
        <w:rPr/>
        <w:t xml:space="preserve"> are the main vectors of dengue, chikungunya and Zika viruses. Because of their short intrinsic incubation periods a greater fraction of mosquito potentially live long enough to transmit diseases (Fig. [fig:eip]), rising to a maximum of 84% for </w:t>
      </w:r>
      <w:r>
        <w:rPr>
          <w:i/>
        </w:rPr>
        <w:t>Ae. albopictus</w:t>
      </w:r>
      <w:r>
        <w:rPr/>
        <w:t xml:space="preserve"> transmitting chikungunya.</w:t>
      </w:r>
    </w:p>
    <w:p>
      <w:pPr>
        <w:pStyle w:val="Heading1"/>
        <w:rPr/>
      </w:pPr>
      <w:bookmarkStart w:id="11" w:name="discussion"/>
      <w:bookmarkEnd w:id="11"/>
      <w:r>
        <w:rPr/>
        <w:t>Discussion</w:t>
      </w:r>
    </w:p>
    <w:p>
      <w:pPr>
        <w:pStyle w:val="FirstParagraph"/>
        <w:rPr/>
      </w:pPr>
      <w:r>
        <w:rPr/>
        <w:t>In this study, we applied a Bayesian hierarchical framework to the analysis of a database of mark-release-recapture experiments and another for mosquito dissection studies to estimate mosquito lifespan. By applying a single framework, this allows us to effectively synthesise information from the disparate experiments which, individually, estimate lifespan with considerable uncertainty. Due to the assumptions required to analyse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effect is less marked than the sex differences. In contrast to a number of lab-based experiments (Yang et a., 2009; Brady et al., 2013), 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age.</w:t>
      </w:r>
    </w:p>
    <w:p>
      <w:pPr>
        <w:pStyle w:val="TextBody"/>
        <w:rPr/>
      </w:pPr>
      <w:r>
        <w:rPr/>
        <w:t xml:space="preserve">MRR experiments are known to produce downwardly-biased estimates of lifespan. Lab experiments have demonstrated that marking can negatively impact survival (Verhurst et al., 2013; Dickens et al., 2014) resulting in artificially depressed survival. MRR studies typically cannot differentiate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i/>
        </w:rPr>
        <w:t>in silico</w:t>
      </w:r>
      <w:r>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[S-fig:mrr_mcPowerAnalysis]). This indicates that statistical power can be substantially increased by pooling data across experiments as we did using a Bayesian hierarchical model.</w:t>
      </w:r>
    </w:p>
    <w:p>
      <w:pPr>
        <w:pStyle w:val="TextBody"/>
        <w:rPr/>
      </w:pPr>
      <w:r>
        <w:rPr/>
        <w:t xml:space="preserve">The key assumptions of dissection based methods to determine chronological age are: (i)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1995), particularly in African vector species (Gillies et al., 1965), the related issue of locating ovarioles whose count of dilations represents true physiological age (Fox and Brust, 1994), and the variation in numbers of ovariolar dilations for mosquitoes of the same, known, physiological age </w:t>
      </w:r>
      <w:r>
        <w:rPr/>
        <w:t>(</w:t>
      </w:r>
      <w:r>
        <w:rPr/>
        <w:t>Kay, 1979; Russell, 1986; Hugo et al., 2008</w:t>
      </w:r>
      <w:r>
        <w:rPr/>
        <w:t>)</w:t>
      </w:r>
      <w:r>
        <w:rPr/>
        <w:t xml:space="preserve">. Indeed there is considerable uncertainty concerning the fundamental question of how dilations in ovarioles form in the first place. Whilst the ‘Old School’ of thought (a term coined by Fox and Brust, 1994) headed by Polovodana (Polovodova, 1949) and Detinova (Detinova, 1962) considers dilations to result from normal oogenesis, a ‘New School’ headed by Lange and Hoc (Lange and Hoc, 1981) has challenged this assertion. The New School believe that only abortive oogenesis results in follicular dilations because normal oogenesis destroys the sack-like structures (Fox and Brust, 1994).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difficulty of finding diagnostic ovarioles as a mosquito ages would elevate the chance of age ‘hypodiagnosis’ for older specimens (Fox and Brust, 1994), and likely biases lifespan estimates downwards. The difficulty of locating diagnostic ovarioles has been investigated using lab populations of </w:t>
      </w:r>
      <w:r>
        <w:rPr>
          <w:i/>
        </w:rPr>
        <w:t>Culex</w:t>
      </w:r>
      <w:r>
        <w:rPr/>
        <w:t xml:space="preserve"> and </w:t>
      </w:r>
      <w:r>
        <w:rPr>
          <w:i/>
        </w:rPr>
        <w:t>Aedes</w:t>
      </w:r>
      <w:r>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et al., 1965), where marked mosquitoes are recaptured and dissected to determine the number of gonotrophic cycles occurring since release; and laboratory-based observations of colonies of (typically) wild-caught females, or their progeny (see, for example, Afrane et al., 2005). Whilst it is unclear how each method could bias estimated gonotrophic cycle duration, in our analysis, laboratory-based studies indicated a longer gonotrophic cycle (Fig. [S-fig:dissection_gonotrophicCycleRaw_MRRVsLab]).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et al., 1965) or abundance (</w:t>
      </w:r>
      <w:bookmarkStart w:id="12" w:name="__DdeLink__10168_1243420942"/>
      <w:r>
        <w:rPr/>
        <w:t>Clements and Patterson, 1981</w:t>
      </w:r>
      <w:bookmarkEnd w:id="12"/>
      <w:r>
        <w:rPr/>
        <w:t xml:space="preserve">) of nulliparous individuals. In our database, there are cases where there was an obvious deficit of nulliparous individuals, which has previously been ascribed to the differing distribution of resting females between indoor and outdoor traps </w:t>
      </w:r>
      <w:r>
        <w:rPr/>
        <w:t>(Detinova, 1962</w:t>
      </w:r>
      <w:r>
        <w:rPr/>
        <w:t>; Clements and Patterson, 1981</w:t>
      </w:r>
      <w:r>
        <w:rPr/>
        <w:t>)</w:t>
      </w:r>
      <w:r>
        <w:rPr/>
        <w:t>. We chose to not include those counts of nulliparous individuals in our analysis where their number was less than 90% of the uniparous. Whilst we see no obvious differences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1962), based on dichotomous categorisation of female mosquito specimens as ‘parous’ or ‘unparous’ relies on fewer assumptions, and is widely used. Further work examining parity rates in field specimens may be fruitful although, in principle, it offers less information on the age structure of a population than Polovodova’s approach.</w:t>
      </w:r>
    </w:p>
    <w:p>
      <w:pPr>
        <w:pStyle w:val="TextBody"/>
        <w:rPr/>
      </w:pPr>
      <w:r>
        <w:rPr/>
        <w:t xml:space="preserve">By applying a common method to analysing all studies in our databases, it is possible that we may have missed patterns of mortality that would have been evident from using a more bespoke approach. As our </w:t>
      </w:r>
      <w:r>
        <w:rPr>
          <w:i/>
        </w:rPr>
        <w:t>in silico</w:t>
      </w:r>
      <w:r>
        <w:rPr/>
        <w:t xml:space="preserve"> analysis of MRR experiments indicates, however, the overdispersed data from single experiments results in high measurement error (Fig. [S-fig:mrr_mcPowerAnalysis]). By applying different methods to each study, this could lead us to falsely detect patterns when none are present, and we prefer a pooled approach.</w:t>
      </w:r>
    </w:p>
    <w:p>
      <w:pPr>
        <w:pStyle w:val="TextBody"/>
        <w:rPr/>
      </w:pPr>
      <w:r>
        <w:rPr/>
        <w:t>The different nature of the assumptions of each of the two methods means they offer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Efforts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dispersal.</w:t>
      </w:r>
    </w:p>
    <w:p>
      <w:pPr>
        <w:pStyle w:val="TextBody"/>
        <w:rPr/>
      </w:pPr>
      <w:r>
        <w:rPr/>
        <w:t xml:space="preserve">To compare estimates of lifespan derived from MRR with those from dissection-based methods, we display the estimates of lifespan from those ten species occurring in both databases in a single plot (Fig. [fig:comparison]). In is reassuring that there is correlation between estimates from both approaches, although the small sample size likely hindered our ability to determine statistical significance. In both cases, we estimate that </w:t>
      </w:r>
      <w:r>
        <w:rPr>
          <w:i/>
        </w:rPr>
        <w:t>A. sergentii</w:t>
      </w:r>
      <w:r>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w:t>
      </w:r>
      <w:r>
        <w:rPr/>
        <w:t>(Sinka et al., 2010)</w:t>
      </w:r>
      <w:r>
        <w:rPr/>
        <w:t xml:space="preserve">, 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i/>
        </w:rPr>
        <w:t>A. gambiae s.l.</w:t>
      </w:r>
      <w:r>
        <w:rPr/>
        <w:t xml:space="preserve">, where we estimated LBLs of 4.5 days (mean estimate; 25%-75% CI: 3.8-5.1 days for unfed female) from the MRR analysis and 9.5 days (mean estimate; 25%-75% CI: 5.2-11.0) from the dissection analysis. Across genera, the greatest discrepancy in estimates was for </w:t>
      </w:r>
      <w:r>
        <w:rPr>
          <w:i/>
        </w:rPr>
        <w:t>Aedes</w:t>
      </w:r>
      <w:r>
        <w:rPr/>
        <w:t xml:space="preserve">, where the estimates from the MRR studies (8.1 days) are considerably longer than those of dissection-based studies (3.5 days). This was followed by </w:t>
      </w:r>
      <w:r>
        <w:rPr>
          <w:i/>
        </w:rPr>
        <w:t>Culex</w:t>
      </w:r>
      <w:r>
        <w:rPr/>
        <w:t xml:space="preserve"> (a posterior mean of 2.9 days from the MRR versus 4.9 days from the dissection analysis) with the smallest discrepancy for </w:t>
      </w:r>
      <w:r>
        <w:rPr>
          <w:i/>
        </w:rPr>
        <w:t>Anopheles</w:t>
      </w:r>
      <w:r>
        <w:rPr/>
        <w:t xml:space="preserve"> (6.8 versus 6.4 days). Across all studies we estimate from the MRR analysis that mean mosquito lifespan is 6.0 days versus 5.5 days from the dissection-based studies. Some of the differences in these group-level estimates between the two approaches is likely due to environmental and genetic differences between mosquitoes in the experiments that were analysed in each meta-analysis. However, we believe that part of the discrepancy can be explained by the methodological differences in approaches. We speculate that differences in dispersal rate can explain some of the discrepancy. Both </w:t>
      </w:r>
      <w:r>
        <w:rPr>
          <w:i/>
        </w:rPr>
        <w:t>Anopheles</w:t>
      </w:r>
      <w:r>
        <w:rPr/>
        <w:t xml:space="preserve"> and </w:t>
      </w:r>
      <w:r>
        <w:rPr>
          <w:i/>
        </w:rPr>
        <w:t>Culex</w:t>
      </w:r>
      <w:r>
        <w:rPr/>
        <w:t xml:space="preserve"> mosquitoes are generally thought to fly farther during their lifetimes than </w:t>
      </w:r>
      <w:r>
        <w:rPr>
          <w:i/>
        </w:rPr>
        <w:t>Aedes</w:t>
      </w:r>
      <w:r>
        <w:rPr/>
        <w:t xml:space="preserve"> [Charles,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i/>
        </w:rPr>
        <w:t>Anopheles</w:t>
      </w:r>
      <w:r>
        <w:rPr/>
        <w:t xml:space="preserve"> and </w:t>
      </w:r>
      <w:r>
        <w:rPr>
          <w:i/>
        </w:rPr>
        <w:t>Culex</w:t>
      </w:r>
      <w:r>
        <w:rPr/>
        <w:t xml:space="preserve"> mosquitoes, but not for </w:t>
      </w:r>
      <w:r>
        <w:rPr>
          <w:i/>
        </w:rPr>
        <w:t>Aedes</w:t>
      </w:r>
      <w:r>
        <w:rPr/>
        <w:t>.</w:t>
      </w:r>
    </w:p>
    <w:p>
      <w:pPr>
        <w:pStyle w:val="TextBody"/>
        <w:rPr/>
      </w:pPr>
      <w:r>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w:t>
      </w:r>
      <w:r>
        <w:rPr/>
        <w:t>Styer et al., 2007</w:t>
      </w:r>
      <w:r>
        <w:rPr/>
        <w:t xml:space="preserve">, using colonies of 45,054 female and 55,997 male </w:t>
      </w:r>
      <w:r>
        <w:rPr>
          <w:i/>
        </w:rPr>
        <w:t>Ae. aegypti</w:t>
      </w:r>
      <w:r>
        <w:rPr/>
        <w:t xml:space="preserve">, determined that females lived nearly twice as long as males; the median lifespan was estimated as 31.69 </w:t>
      </w:r>
      <w:r>
        <w:rPr/>
      </w:r>
      <m:oMath xmlns:m="http://schemas.openxmlformats.org/officeDocument/2006/math">
        <m:r>
          <w:rPr>
            <w:rFonts w:ascii="Cambria Math" w:hAnsi="Cambria Math"/>
          </w:rPr>
          <m:t xml:space="preserve">±</m:t>
        </m:r>
      </m:oMath>
      <w:r>
        <w:rPr/>
        <w:t xml:space="preserve"> 0.06 days for females and 16.39 </w:t>
      </w:r>
      <w:r>
        <w:rPr/>
      </w:r>
      <m:oMath xmlns:m="http://schemas.openxmlformats.org/officeDocument/2006/math">
        <m:r>
          <w:rPr>
            <w:rFonts w:ascii="Cambria Math" w:hAnsi="Cambria Math"/>
          </w:rPr>
          <m:t xml:space="preserve">±</m:t>
        </m:r>
      </m:oMath>
      <w:r>
        <w:rPr/>
        <w:t xml:space="preserve"> 0.03 days for males. A similar study by </w:t>
      </w:r>
      <w:r>
        <w:rPr/>
        <w:t>Dawes et al., 2009</w:t>
      </w:r>
      <w:r>
        <w:rPr/>
        <w:t xml:space="preserve"> with a lab colony of over 1000 female </w:t>
      </w:r>
      <w:r>
        <w:rPr>
          <w:i/>
        </w:rPr>
        <w:t>A. stephensi</w:t>
      </w:r>
      <w:r>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difficult to quantify and explain the gap that exists between field and laboratory lifespans. The development of additional methods to estimate mosquito age, such as ‘Near-Infrared Spectroscopy’ </w:t>
      </w:r>
      <w:r>
        <w:rPr/>
        <w:t>(Mayagaya et al., 2009</w:t>
      </w:r>
      <w:r>
        <w:rPr/>
        <w:t xml:space="preserve">; </w:t>
      </w:r>
      <w:r>
        <w:rPr/>
        <w:t>Sikulu et al., 2011</w:t>
      </w:r>
      <w:r>
        <w:rPr/>
        <w:t xml:space="preserve">; </w:t>
      </w:r>
      <w:r>
        <w:rPr/>
        <w:t>Lambert et al., 2018)</w:t>
      </w:r>
      <w:r>
        <w:rPr/>
        <w:t xml:space="preserve"> if they are proven to work in the field, may be of considerable worth here.</w:t>
      </w:r>
    </w:p>
    <w:p>
      <w:pPr>
        <w:pStyle w:val="TextBody"/>
        <w:rPr/>
      </w:pPr>
      <w:r>
        <w:rPr/>
        <w:t xml:space="preserve">We conducted a power analysis of MRR experiments to determine whether typical experimental characteristics could detect senescence. Here we calculated the power of a maximum likelihood estimator of the ‘senescence parameter’ </w:t>
      </w:r>
      <w:r>
        <w:rPr/>
      </w:r>
      <m:oMath xmlns:m="http://schemas.openxmlformats.org/officeDocument/2006/math">
        <m:r>
          <w:rPr>
            <w:rFonts w:ascii="Cambria Math" w:hAnsi="Cambria Math"/>
          </w:rPr>
          <m:t xml:space="preserve">β</m:t>
        </m:r>
      </m:oMath>
      <w:r>
        <w:rPr/>
        <w:t xml:space="preserve"> of the Gompertz survival function (see Table [SM-tab:mrr_survivalDescription]) for case study populations with three different levels of senescence (Fig. [S-fig:mrr_mcPowerAnalysis_senescence]A). This analysis indicated that power to detect senescence strongly depends on study length (Fig. [S-fig:mrr_mcPowerAnalysis_senescence]B) but is insensitive to release size (Fig. [S-fig:mrr_mcPowerAnalysis_senescence]C).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[SM-tab:mrr_IndividualData]) this could partly explain our failure to detect senescence at the species level. A number of experiments have found evidence of age-dependence in laboratory populations </w:t>
      </w:r>
      <w:r>
        <w:rPr/>
        <w:t>(Styer et al., 2007</w:t>
      </w:r>
      <w:r>
        <w:rPr/>
        <w:t xml:space="preserve">; </w:t>
      </w:r>
      <w:r>
        <w:rPr/>
        <w:t>Dawes et al., 2009)</w:t>
      </w:r>
      <w:r>
        <w:rPr/>
        <w:t>. However, the artificially benign environment of the laboratory means mosquitoes live considerably longer than in the wild, where they may die because of exogenous factors, before the effects of physiological decline have had time to manifest. Field experiments have also found evidence for age-dependent mortality. Harrington et al. (2008) conducted a field experiment where mosquitoes reared under laboratory conditions were marked and released at different ages. Analysis of the resultant MRR time-series indicated that mosquito mortality increases with age at release. It is possible, however, that this field experiment suffers from the same biases as laboratory-based approaches, because the released mosquitoes were often of ages considerably higher (up to 20 days) than typical estimates of wild mosquito lifespan.</w:t>
      </w:r>
    </w:p>
    <w:p>
      <w:pPr>
        <w:pStyle w:val="TextBody"/>
        <w:rPr/>
      </w:pPr>
      <w:r>
        <w:rPr/>
        <w:t>As ethical concerns of contributing to disease burden are more often considered, it is now less common for MRR experiments to release female mosquitoes versus males than historically (Fig. [SM-fig:mrr_sexReleasesOverTime]). Our analysis indicates that females outlive male mosquitoes by approximately 1.2 days (Fig. [fig:mrr_sexDifferences_without_sugar_nor_blood]), meaning that differences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TextBody"/>
        <w:rPr/>
      </w:pPr>
      <w:r>
        <w:rPr/>
        <w:t>Our estimates of LBL indicate that mosquitoes that were sugar-fed prior to release lived on average 0.7 days longer than those that were unfed (Fig. [S-fig:mrr_female_blood_sugar]) suggesting the potential value of this underappreciated aspect of the mosquito ecology to the insects. It may also partly explain the recent successes in the use of Attractive Toxic Sugar Baits as a vector control intervention [@muller2008decline; @muller2010effective; @muller2010field; @muller2010successful; @beier2012attractive]. More research is needed, however, to identify the sugar-feeding frequency and food sources for wild populations.</w:t>
      </w:r>
    </w:p>
    <w:p>
      <w:pPr>
        <w:pStyle w:val="TextBody"/>
        <w:rPr/>
      </w:pPr>
      <w:r>
        <w:rPr/>
        <w:t xml:space="preserve">There is evidence mainly from laboratory studies that temperature modulates mosquito ecology and behaviour [@yang2009assessing; @brady2013modelling; @murdock2012complex; @beck2013effect]. The locations and times of year over which the MRR studies were conducted encompassed a large range of average air temperatures, from approximately 10 </w:t>
      </w:r>
      <w:r>
        <w:rPr>
          <w:vertAlign w:val="superscript"/>
        </w:rPr>
        <w:t>o</w:t>
      </w:r>
      <w:r>
        <w:rPr/>
        <w:t xml:space="preserve">C to 35 </w:t>
      </w:r>
      <w:r>
        <w:rPr>
          <w:vertAlign w:val="superscript"/>
        </w:rPr>
        <w:t>o</w:t>
      </w:r>
      <w:r>
        <w:rPr/>
        <w:t>C and, within this, we determined no relationship between lifespan and temperature across all time series (Fig. [S-fig:mrr_temperature]) or, for any of the species with the most data (Fig. [S-fig:mrr_ThreeSpeciesVersusTemperature]). It is possible that by considering a raw average of air temperature across the month, this ignored, more complex, interactions between temperature and lifespan. It is also possible that by ignoring the effects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p>
    <w:p>
      <w:pPr>
        <w:pStyle w:val="TextBody"/>
        <w:rPr/>
      </w:pPr>
      <w:r>
        <w:rPr/>
        <w:t>In this work, we have used modern statistical methods to synthesise precious field data conducted by entomologists past and present, to produce lower bound estimates of mosquito lifespan. The importance of vector mortality for disease transmission has long been recognised, however, since even before 1957, when George Macdonald formulated the now famous Ross-Macdonald equation of R</w:t>
      </w:r>
      <w:r>
        <w:rPr>
          <w:vertAlign w:val="subscript"/>
        </w:rPr>
        <w:t>0</w:t>
      </w:r>
      <w:r>
        <w:rPr/>
        <w:t xml:space="preserve"> for malaria. Indeed, the recent declines in malaria prevalence in Sub-Saharan Africa were likely due to upscaling of interventions (insecticide-treated bednets and indoor residual spraying) that aim to reduce mosquito lifespan [@bhatt2015effect]. Worryingly, resistance to pyrethroids, the only class of insecticide used in current insecticide-treated bednets and likely the only product to come to market in the near future, has been determined to be widespread and increasing in intensity across Sub-Saharan Africa [@world2018global]. This alarming trend highlights the need for continued MRR and dissection-based studies to monitor the effectiveness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disease.</w:t>
      </w:r>
    </w:p>
    <w:p>
      <w:pPr>
        <w:pStyle w:val="Heading1"/>
        <w:rPr/>
      </w:pPr>
      <w:bookmarkStart w:id="13" w:name="methods"/>
      <w:bookmarkEnd w:id="13"/>
      <w:r>
        <w:rPr/>
        <w:t>Methods</w:t>
      </w:r>
    </w:p>
    <w:p>
      <w:pPr>
        <w:pStyle w:val="FirstParagraph"/>
        <w:rPr/>
      </w:pPr>
      <w:r>
        <w:rPr/>
        <w:t xml:space="preserve">In recent years many important vectors of disease have been shown to be complexes of closely related species, biotypes or forms that cannot be distinguished morphologically (for example the morphospecies </w:t>
      </w:r>
      <w:r>
        <w:rPr>
          <w:i/>
        </w:rPr>
        <w:t>Anopheles gambiae sensu lato</w:t>
      </w:r>
      <w:r>
        <w:rPr/>
        <w:t xml:space="preserve"> is now separated into the widespread </w:t>
      </w:r>
      <w:r>
        <w:rPr>
          <w:i/>
        </w:rPr>
        <w:t>gambiae, coluzzii, arabiensis</w:t>
      </w:r>
      <w:r>
        <w:rPr/>
        <w:t xml:space="preserve"> and a number of more local species). As the majority of studies analysed here took place before molecular techniques allowed these taxa to be separated we work here chiefly with morphospecies.</w:t>
      </w:r>
    </w:p>
    <w:p>
      <w:pPr>
        <w:pStyle w:val="Heading2"/>
        <w:rPr/>
      </w:pPr>
      <w:bookmarkStart w:id="14" w:name="mark-release-recapture"/>
      <w:bookmarkEnd w:id="14"/>
      <w:r>
        <w:rPr/>
        <w:t>Mark-release-recapture</w:t>
      </w:r>
    </w:p>
    <w:p>
      <w:pPr>
        <w:pStyle w:val="FirstParagraph"/>
        <w:rPr/>
      </w:pPr>
      <w:r>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[SM-tab:mrr_aggregateData] for a summary of other data characteristics.</w:t>
      </w:r>
    </w:p>
    <w:p>
      <w:pPr>
        <w:pStyle w:val="TextBody"/>
        <w:rPr/>
      </w:pPr>
      <w:r>
        <w:rPr/>
        <w:t xml:space="preserve">We analysed all MRR experiments within the same statistical framework (for full details see the Supplementary Online Material (SOM)). In the simplest case </w:t>
      </w:r>
      <w:r>
        <w:rPr>
          <w:i/>
        </w:rPr>
        <w:t>N</w:t>
      </w:r>
      <w:r>
        <w:rPr>
          <w:i/>
          <w:vertAlign w:val="subscript"/>
        </w:rPr>
        <w:t>R</w:t>
      </w:r>
      <w:r>
        <w:rPr/>
        <w:t xml:space="preserve"> mosquitoes are released on day zero and the probability that they remain in the recapture area until day </w:t>
      </w:r>
      <w:r>
        <w:rPr>
          <w:i/>
        </w:rPr>
        <w:t>t</w:t>
      </w:r>
      <w:r>
        <w:rPr/>
        <w:t xml:space="preserve"> is </w:t>
      </w:r>
      <w:r>
        <w:rPr>
          <w:i/>
        </w:rPr>
        <w:t>S</w:t>
      </w:r>
      <w:r>
        <w:rPr/>
        <w:t>(</w:t>
      </w:r>
      <w:r>
        <w:rPr>
          <w:i/>
        </w:rPr>
        <w:t>t</w:t>
      </w:r>
      <w:r>
        <w:rPr/>
        <w:t xml:space="preserve">) when they are recaptured with probability </w:t>
      </w:r>
      <w:r>
        <w:rPr/>
      </w:r>
      <m:oMath xmlns:m="http://schemas.openxmlformats.org/officeDocument/2006/math">
        <m:r>
          <w:rPr>
            <w:rFonts w:ascii="Cambria Math" w:hAnsi="Cambria Math"/>
          </w:rPr>
          <m:t xml:space="preserve">ψ</m:t>
        </m:r>
      </m:oMath>
      <w:r>
        <w:rPr/>
        <w:t xml:space="preserve">. We model the number of mosquitoes recaptured on day </w:t>
      </w:r>
      <w:r>
        <w:rPr>
          <w:i/>
        </w:rPr>
        <w:t>t</w:t>
      </w:r>
      <w:r>
        <w:rPr/>
        <w:t xml:space="preserve"> using a negative binomial sampling model with mean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R</m:t>
                </m:r>
              </m:sub>
            </m:sSub>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e>
        </m:d>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ψ</m:t>
        </m:r>
      </m:oMath>
      <w:r>
        <w:rPr/>
        <w:t xml:space="preserve">, 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oMath>
      <w:r>
        <w:rPr/>
        <w:t xml:space="preserve"> is cumulative captures before day </w:t>
      </w:r>
      <w:r>
        <w:rPr>
          <w:i/>
        </w:rPr>
        <w:t>t</w:t>
      </w:r>
      <w:r>
        <w:rPr/>
        <w:t xml:space="preserve">, and shape parameter </w:t>
      </w:r>
      <w:r>
        <w:rPr/>
      </w:r>
      <m:oMath xmlns:m="http://schemas.openxmlformats.org/officeDocument/2006/math">
        <m:r>
          <w:rPr>
            <w:rFonts w:ascii="Cambria Math" w:hAnsi="Cambria Math"/>
          </w:rPr>
          <m:t xml:space="preserve">κ</m:t>
        </m:r>
      </m:oMath>
      <w:r>
        <w:rPr/>
        <w:t>. The negative binomial has been used previously in analyses of mosquito count data [@service1971studies; @nedelman1983negative] because of its ability to represent temporal over-dispersion in recaptures most likely caused by variable weather. A slight modification was required for studies with multiple releases (see SOM).</w:t>
      </w:r>
    </w:p>
    <w:p>
      <w:pPr>
        <w:pStyle w:val="TextBody"/>
        <w:rPr/>
      </w:pPr>
      <w:r>
        <w:rPr/>
        <w:t xml:space="preserve">The simplest model for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oMath>
      <w:r>
        <w:rPr/>
        <w:t xml:space="preserve"> assumes there is a constant probability (</w:t>
      </w:r>
      <w:r>
        <w:rPr/>
      </w:r>
      <m:oMath xmlns:m="http://schemas.openxmlformats.org/officeDocument/2006/math">
        <m:r>
          <w:rPr>
            <w:rFonts w:ascii="Cambria Math" w:hAnsi="Cambria Math"/>
          </w:rPr>
          <m:t xml:space="preserve">λ</m:t>
        </m:r>
      </m:oMath>
      <w:r>
        <w:rPr/>
        <w:t xml:space="preserve">) that a mosquito dies or leaves the recapture area so that the numbers remaining after time </w:t>
      </w:r>
      <w:r>
        <w:rPr>
          <w:i/>
        </w:rPr>
        <w:t>t</w:t>
      </w:r>
      <w:r>
        <w:rPr/>
        <w:t xml:space="preserve"> are given by the exponential distribution, </w:t>
      </w:r>
      <w:r>
        <w:rPr/>
      </w:r>
      <m:oMath xmlns:m="http://schemas.openxmlformats.org/officeDocument/2006/math">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λ</m:t>
            </m:r>
            <m:r>
              <w:rPr>
                <w:rFonts w:ascii="Cambria Math" w:hAnsi="Cambria Math"/>
              </w:rPr>
              <m:t xml:space="preserve">t</m:t>
            </m:r>
          </m:e>
        </m:d>
      </m:oMath>
      <w:r>
        <w:rPr/>
        <w:t xml:space="preserve">. We utilised this form extensively but in testing for senescence used five other models where </w:t>
      </w:r>
      <w:r>
        <w:rPr/>
      </w:r>
      <m:oMath xmlns:m="http://schemas.openxmlformats.org/officeDocument/2006/math">
        <m:r>
          <w:rPr>
            <w:rFonts w:ascii="Cambria Math" w:hAnsi="Cambria Math"/>
          </w:rPr>
          <m:t xml:space="preserve">λ</m:t>
        </m:r>
        <m:d>
          <m:dPr>
            <m:begChr m:val="("/>
            <m:endChr m:val=")"/>
          </m:dPr>
          <m:e>
            <m:r>
              <w:rPr>
                <w:rFonts w:ascii="Cambria Math" w:hAnsi="Cambria Math"/>
              </w:rPr>
              <m:t xml:space="preserve">t</m:t>
            </m:r>
          </m:e>
        </m:d>
      </m:oMath>
      <w:r>
        <w:rPr/>
        <w:t xml:space="preserve"> varies with time so that,</w:t>
      </w:r>
    </w:p>
    <w:tbl>
      <w:tblPr>
        <w:tblStyle w:val="TableNormal"/>
        <w:tblW w:w="8640" w:type="dxa"/>
        <w:jc w:val="left"/>
        <w:tblInd w:w="0" w:type="dxa"/>
        <w:tblBorders/>
        <w:tblCellMar>
          <w:top w:w="0" w:type="dxa"/>
          <w:left w:w="108" w:type="dxa"/>
          <w:bottom w:w="0" w:type="dxa"/>
          <w:right w:w="108" w:type="dxa"/>
        </w:tblCellMar>
        <w:tblLook/>
      </w:tblPr>
      <w:tblGrid>
        <w:gridCol w:w="4319"/>
        <w:gridCol w:w="4320"/>
      </w:tblGrid>
      <w:tr>
        <w:trPr/>
        <w:tc>
          <w:tcPr>
            <w:tcW w:w="4319" w:type="dxa"/>
            <w:tcBorders/>
            <w:shd w:fill="auto" w:val="clear"/>
          </w:tcPr>
          <w:p>
            <w:pPr>
              <w:pStyle w:val="Compact"/>
              <w:spacing w:before="36" w:after="36"/>
              <w:jc w:val="left"/>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m:t>
                      </m:r>
                      <m:r>
                        <w:rPr>
                          <w:rFonts w:ascii="Cambria Math" w:hAnsi="Cambria Math"/>
                        </w:rPr>
                        <m:t xml:space="preserve">τ</m:t>
                      </m:r>
                    </m:e>
                  </m:nary>
                </m:sup>
              </m:sSup>
              <m:r>
                <w:rPr>
                  <w:rFonts w:ascii="Cambria Math" w:hAnsi="Cambria Math"/>
                </w:rPr>
                <m:t xml:space="preserve">.</m:t>
              </m:r>
            </m:oMath>
          </w:p>
        </w:tc>
        <w:tc>
          <w:tcPr>
            <w:tcW w:w="4320" w:type="dxa"/>
            <w:tcBorders/>
            <w:shd w:fill="auto" w:val="clear"/>
          </w:tcPr>
          <w:p>
            <w:pPr>
              <w:pStyle w:val="Compact"/>
              <w:spacing w:before="36" w:after="36"/>
              <w:rPr/>
            </w:pPr>
            <w:r>
              <w:rPr/>
            </w:r>
          </w:p>
        </w:tc>
      </w:tr>
    </w:tbl>
    <w:p>
      <w:pPr>
        <w:pStyle w:val="TextBody"/>
        <w:rPr/>
      </w:pPr>
      <w:r>
        <w:rPr/>
        <w:t>Details of the five models (Gompertz, Weibull, Gompertz-Makeham, Logistic and Logistic-Makeham), which vary in their ability to detect different forms of age-dependent mortality, are given in the SOM. Using multiple different types of models increased our chances of detecting senescence though, as discussed below, also increases the likelihood of false positives.</w:t>
      </w:r>
    </w:p>
    <w:p>
      <w:pPr>
        <w:pStyle w:val="TextBody"/>
        <w:rPr/>
      </w:pPr>
      <w:r>
        <w:rPr/>
        <w:t xml:space="preserve">Parameters were estimated using Bayesian techniques with relative uninformative priors for </w:t>
      </w:r>
      <w:r>
        <w:rPr/>
      </w:r>
      <m:oMath xmlns:m="http://schemas.openxmlformats.org/officeDocument/2006/math">
        <m:r>
          <w:rPr>
            <w:rFonts w:ascii="Cambria Math" w:hAnsi="Cambria Math"/>
          </w:rPr>
          <m:t xml:space="preserve">κ</m:t>
        </m:r>
      </m:oMath>
      <w:r>
        <w:rPr/>
        <w:t xml:space="preserve"> and the parameters of </w:t>
      </w:r>
      <w:r>
        <w:rPr/>
      </w:r>
      <m:oMath xmlns:m="http://schemas.openxmlformats.org/officeDocument/2006/math">
        <m:r>
          <w:rPr>
            <w:rFonts w:ascii="Cambria Math" w:hAnsi="Cambria Math"/>
          </w:rPr>
          <m:t xml:space="preserve">λ</m:t>
        </m:r>
        <m:d>
          <m:dPr>
            <m:begChr m:val="("/>
            <m:endChr m:val=")"/>
          </m:dPr>
          <m:e>
            <m:r>
              <w:rPr>
                <w:rFonts w:ascii="Cambria Math" w:hAnsi="Cambria Math"/>
              </w:rPr>
              <m:t xml:space="preserve">t</m:t>
            </m:r>
          </m:e>
        </m:d>
      </m:oMath>
      <w:r>
        <w:rPr/>
        <w:t xml:space="preserve">, but assuming a prior for </w:t>
      </w:r>
      <w:r>
        <w:rPr/>
      </w:r>
      <m:oMath xmlns:m="http://schemas.openxmlformats.org/officeDocument/2006/math">
        <m:r>
          <w:rPr>
            <w:rFonts w:ascii="Cambria Math" w:hAnsi="Cambria Math"/>
          </w:rPr>
          <m:t xml:space="preserve">ψ</m:t>
        </m:r>
      </m:oMath>
      <w:r>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effects in classical statistics). Within this framework we can also allow the parameters for individual time series to be influenced by co-variates such as differences in experimental methodology. As in the estimation of the parameters of the individual experiments, relative uninformative priors were set for the parameters of the hierarchical models except for </w:t>
      </w:r>
      <w:r>
        <w:rPr/>
      </w:r>
      <m:oMath xmlns:m="http://schemas.openxmlformats.org/officeDocument/2006/math">
        <m:r>
          <w:rPr>
            <w:rFonts w:ascii="Cambria Math" w:hAnsi="Cambria Math"/>
          </w:rPr>
          <m:t xml:space="preserve">ψ</m:t>
        </m:r>
      </m:oMath>
      <w:r>
        <w:rPr/>
        <w:t xml:space="preserve"> where again a distribution representing low recapture probabilities was assumed. Posterior distributions were derived using Markov Chain Monte Carlo (MCMC) methods with convergence assessed using the </w:t>
      </w:r>
      <w:r>
        <w:rPr/>
      </w:r>
      <m:oMath xmlns:m="http://schemas.openxmlformats.org/officeDocument/2006/math">
        <m:limUpp>
          <m:e>
            <m:r>
              <w:rPr>
                <w:rFonts w:ascii="Cambria Math" w:hAnsi="Cambria Math"/>
              </w:rPr>
              <m:t xml:space="preserve">R</m:t>
            </m:r>
          </m:e>
          <m:lim/>
        </m:limUpp>
      </m:oMath>
      <w:r>
        <w:rPr/>
        <w:t xml:space="preserve"> statistic [@gelman1992inference]. The predictive power of the model was assessed using </w:t>
      </w:r>
      <w:r>
        <w:rPr>
          <w:i/>
        </w:rPr>
        <w:t>K</w:t>
      </w:r>
      <w:r>
        <w:rPr/>
        <w:t>-fold cross validation which tests the ability of the model fitted to part of the data to predict the rest using multiple different partitions. Further details of the prior specification, fitting and validation through posterior predictive checks [@lambert2018student] are given in the SOM.</w:t>
      </w:r>
    </w:p>
    <w:p>
      <w:pPr>
        <w:pStyle w:val="TextBody"/>
        <w:rPr/>
      </w:pPr>
      <w:r>
        <w:rPr/>
        <w:t xml:space="preserve">Two studies of </w:t>
      </w:r>
      <w:r>
        <w:rPr>
          <w:i/>
        </w:rPr>
        <w:t>Anopheles balabacensis</w:t>
      </w:r>
      <w:r>
        <w:rPr/>
        <w:t xml:space="preserve"> reported capture rates increasing with time, presumably reflecting a violation of our assumption of constant recapture probabilities. We omitted this species from the analysis.</w:t>
      </w:r>
    </w:p>
    <w:p>
      <w:pPr>
        <w:pStyle w:val="TextBody"/>
        <w:rPr/>
      </w:pPr>
      <w:r>
        <w:rPr/>
        <w:t xml:space="preserve">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w:t>
      </w:r>
      <w:r>
        <w:rPr/>
      </w:r>
      <m:oMath xmlns:m="http://schemas.openxmlformats.org/officeDocument/2006/math">
        <m:r>
          <w:rPr>
            <w:rFonts w:ascii="Cambria Math" w:hAnsi="Cambria Math"/>
          </w:rPr>
          <m:t xml:space="preserve">±</m:t>
        </m:r>
      </m:oMath>
      <w:r>
        <w:rPr/>
        <w:t xml:space="preserve"> 1 degree, longitude </w:t>
      </w:r>
      <w:r>
        <w:rPr/>
      </w:r>
      <m:oMath xmlns:m="http://schemas.openxmlformats.org/officeDocument/2006/math">
        <m:r>
          <w:rPr>
            <w:rFonts w:ascii="Cambria Math" w:hAnsi="Cambria Math"/>
          </w:rPr>
          <m:t xml:space="preserve">±</m:t>
        </m:r>
      </m:oMath>
      <w:r>
        <w:rPr/>
        <w:t xml:space="preserve">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Heading2"/>
        <w:rPr/>
      </w:pPr>
      <w:bookmarkStart w:id="15" w:name="dissection"/>
      <w:bookmarkEnd w:id="15"/>
      <w:r>
        <w:rPr/>
        <w:t>Dissection</w:t>
      </w:r>
    </w:p>
    <w:p>
      <w:pPr>
        <w:pStyle w:val="FirstParagraph"/>
        <w:rPr/>
      </w:pPr>
      <w:r>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TextBody"/>
        <w:rPr/>
      </w:pPr>
      <w:r>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effect of fluctuating population sizes on our analysis, we aggregated the data at a given location across cross-sections taken at different times. We further omitted time series with fewer than 100 mosquitoes and for species with only one data set leaving 131 studies of mosquitoes in the genera </w:t>
      </w:r>
      <w:r>
        <w:rPr>
          <w:i/>
        </w:rPr>
        <w:t>Anopheles, Aedes</w:t>
      </w:r>
      <w:r>
        <w:rPr/>
        <w:t xml:space="preserve">, </w:t>
      </w:r>
      <w:r>
        <w:rPr>
          <w:i/>
        </w:rPr>
        <w:t>Culex</w:t>
      </w:r>
      <w:r>
        <w:rPr/>
        <w:t xml:space="preserve"> and </w:t>
      </w:r>
      <w:r>
        <w:rPr>
          <w:i/>
        </w:rPr>
        <w:t>Mansonia</w:t>
      </w:r>
      <w:r>
        <w:rPr/>
        <w:t>.</w:t>
      </w:r>
    </w:p>
    <w:p>
      <w:pPr>
        <w:pStyle w:val="TextBody"/>
        <w:rPr/>
      </w:pPr>
      <w:r>
        <w:rPr/>
        <w:t xml:space="preserve">The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i/>
        </w:rPr>
        <w:t>a</w:t>
      </w:r>
      <w:r>
        <w:rPr/>
        <w:t xml:space="preserve"> using the negative binomial distribution with mean </w:t>
      </w:r>
      <w:r>
        <w:rPr/>
      </w:r>
      <m:oMath xmlns:m="http://schemas.openxmlformats.org/officeDocument/2006/math">
        <m:r>
          <w:rPr>
            <w:rFonts w:ascii="Cambria Math" w:hAnsi="Cambria Math"/>
          </w:rPr>
          <m:t xml:space="preserve">Ψ</m:t>
        </m:r>
        <m:r>
          <w:rPr>
            <w:rFonts w:ascii="Cambria Math" w:hAnsi="Cambria Math"/>
          </w:rPr>
          <m:t xml:space="preserve">S</m:t>
        </m:r>
        <m:d>
          <m:dPr>
            <m:begChr m:val="("/>
            <m:endChr m:val=")"/>
          </m:dPr>
          <m:e>
            <m:r>
              <w:rPr>
                <w:rFonts w:ascii="Cambria Math" w:hAnsi="Cambria Math"/>
              </w:rPr>
              <m:t xml:space="preserve">a</m:t>
            </m:r>
          </m:e>
        </m:d>
      </m:oMath>
      <w:r>
        <w:rPr/>
        <w:t xml:space="preserve"> and shape parameter </w:t>
      </w:r>
      <w:r>
        <w:rPr/>
      </w:r>
      <m:oMath xmlns:m="http://schemas.openxmlformats.org/officeDocument/2006/math">
        <m:r>
          <w:rPr>
            <w:rFonts w:ascii="Cambria Math" w:hAnsi="Cambria Math"/>
          </w:rPr>
          <m:t xml:space="preserve">κ</m:t>
        </m:r>
      </m:oMath>
      <w:r>
        <w:rPr/>
        <w:t xml:space="preserve">, where </w:t>
      </w:r>
      <w:r>
        <w:rPr/>
      </w:r>
      <m:oMath xmlns:m="http://schemas.openxmlformats.org/officeDocument/2006/math">
        <m:r>
          <w:rPr>
            <w:rFonts w:ascii="Cambria Math" w:hAnsi="Cambria Math"/>
          </w:rPr>
          <m:t xml:space="preserve">Ψ</m:t>
        </m:r>
      </m:oMath>
      <w:r>
        <w:rPr/>
        <w:t xml:space="preserve"> is the product of the recruitment rate of adult mosquitoes, which we assume is constant over time, and the probability of being captured for dissection, and </w:t>
      </w:r>
      <w:r>
        <w:rPr>
          <w:i/>
        </w:rPr>
        <w:t>S</w:t>
      </w:r>
      <w:r>
        <w:rPr/>
        <w:t>(</w:t>
      </w:r>
      <w:r>
        <w:rPr>
          <w:i/>
        </w:rPr>
        <w:t>a</w:t>
      </w:r>
      <w:r>
        <w:rPr/>
        <w:t xml:space="preserve">) is the probability of surviving until age </w:t>
      </w:r>
      <w:r>
        <w:rPr>
          <w:i/>
        </w:rPr>
        <w:t>a</w:t>
      </w:r>
      <w:r>
        <w:rPr/>
        <w:t>.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et al., 1965). As some studies have suggested that the first gonotrophic cycle tends to be longer than the subsequent ones, this is probably due to differences in capture probability. In data sets where the fraction of nulliparous females was less than 90% the uniparous (completed on gonotrophic cycle) we excluded the nulliparous observation. Data was analysed using a Bayesian framework as with the MRR data with minor differences in the specification of the priors (see SOM).</w:t>
      </w:r>
    </w:p>
    <w:p>
      <w:pPr>
        <w:pStyle w:val="TextBody"/>
        <w:rPr/>
      </w:pPr>
      <w:r>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differed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differences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i/>
        </w:rPr>
        <w:t>each</w:t>
      </w:r>
      <w:r>
        <w:rPr/>
        <w:t xml:space="preserve"> gonotrophic cycle which increased the uncertainty in lifespan estimate but did not affect any of the conclusions).</w:t>
      </w:r>
    </w:p>
    <w:p>
      <w:pPr>
        <w:pStyle w:val="Heading1"/>
        <w:rPr/>
      </w:pPr>
      <w:bookmarkStart w:id="16" w:name="acknowledgements"/>
      <w:bookmarkEnd w:id="16"/>
      <w:r>
        <w:rPr/>
        <w:t>Acknowledgements</w:t>
      </w:r>
    </w:p>
    <w:p>
      <w:pPr>
        <w:pStyle w:val="FirstParagraph"/>
        <w:spacing w:before="180" w:after="180"/>
        <w:rPr/>
      </w:pPr>
      <w:r>
        <w:rPr/>
        <w:t>The authors would like to thank the following for useful conversations throughout the course of this work: Austin Burt, Mike Bonsall, Thomas Churcher, Steve Lindsay and Ellie Sherrard-Smith.</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LibreOffice/5.2.3.3$MacOSX_X86_64 LibreOffice_project/d54a8868f08a7b39642414cf2c8ef2f228f780cf</Application>
  <Pages>17</Pages>
  <Words>7754</Words>
  <Characters>44392</Characters>
  <CharactersWithSpaces>52093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2018-11-29T14:23:09Z</dcterms:created>
  <dc:creator/>
  <dc:description/>
  <dc:language>en-US</dc:language>
  <cp:lastModifiedBy/>
  <dcterms:modified xsi:type="dcterms:W3CDTF">2018-11-29T14:37:51Z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