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366364">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36636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36636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366364">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366364">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366364">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366364">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analyse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funestus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commentRangeStart w:id="22"/>
        <w:r w:rsidRPr="00C23E98">
          <w:rPr>
            <w:rFonts w:ascii="Arial" w:eastAsia="Arial" w:hAnsi="Arial"/>
            <w:sz w:val="19"/>
            <w:szCs w:val="19"/>
            <w:highlight w:val="red"/>
          </w:rPr>
          <w:t>13</w:t>
        </w:r>
      </w:ins>
      <w:commentRangeEnd w:id="22"/>
      <w:r w:rsidR="00C23E98">
        <w:rPr>
          <w:rStyle w:val="CommentReference"/>
          <w:rFonts w:ascii="Liberation Serif" w:eastAsia="AR PL SungtiL GB" w:hAnsi="Liberation Serif" w:cs="Mangal"/>
          <w:lang w:val="en-GB"/>
        </w:rPr>
        <w:commentReference w:id="22"/>
      </w:r>
      <w:ins w:id="23" w:author="Unknown Author" w:date="2020-01-03T16:07:00Z">
        <w:r w:rsidRPr="00C23E98">
          <w:rPr>
            <w:rFonts w:ascii="Arial" w:eastAsia="Arial" w:hAnsi="Arial"/>
            <w:sz w:val="19"/>
            <w:szCs w:val="19"/>
            <w:highlight w:val="red"/>
          </w:rPr>
          <w:t>.</w:t>
        </w:r>
      </w:ins>
      <w:r w:rsidRPr="00C23E98">
        <w:rPr>
          <w:rFonts w:ascii="Arial" w:eastAsia="Arial" w:hAnsi="Arial"/>
          <w:sz w:val="19"/>
          <w:szCs w:val="19"/>
          <w:highlight w:val="red"/>
        </w:rPr>
        <w:t>2</w:t>
      </w:r>
      <w:ins w:id="24" w:author="Unknown Author" w:date="2020-01-03T16:07:00Z">
        <w:r>
          <w:rPr>
            <w:rFonts w:ascii="Arial" w:eastAsia="Arial" w:hAnsi="Arial"/>
            <w:sz w:val="19"/>
            <w:szCs w:val="19"/>
          </w:rPr>
          <w:t xml:space="preserve"> days (dichotomous parity analysis).</w:t>
        </w:r>
      </w:ins>
      <w:ins w:id="25" w:author="Unknown Author" w:date="2020-01-03T16:08:00Z">
        <w:r>
          <w:rPr>
            <w:rFonts w:ascii="Arial" w:eastAsia="Arial" w:hAnsi="Arial"/>
            <w:sz w:val="19"/>
            <w:szCs w:val="19"/>
          </w:rPr>
          <w:t xml:space="preserve"> </w:t>
        </w:r>
      </w:ins>
      <w:ins w:id="26" w:author="Unknown Author" w:date="2020-01-03T16:16:00Z">
        <w:r>
          <w:rPr>
            <w:rFonts w:ascii="Arial" w:eastAsia="Arial" w:hAnsi="Arial"/>
            <w:sz w:val="19"/>
            <w:szCs w:val="19"/>
          </w:rPr>
          <w:t>W</w:t>
        </w:r>
      </w:ins>
      <w:ins w:id="27"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8" w:author="Unknown Author" w:date="2020-01-03T16:17:00Z">
        <w:r>
          <w:rPr>
            <w:rFonts w:ascii="Arial" w:eastAsia="Arial" w:hAnsi="Arial"/>
            <w:sz w:val="19"/>
            <w:szCs w:val="19"/>
          </w:rPr>
          <w:t>– the predominant vectors of dengue fever, chikungunya and Zika.</w:t>
        </w:r>
      </w:ins>
      <w:del w:id="29"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30"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31"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366364">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2"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bednets,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366364">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366364">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366364">
      <w:pPr>
        <w:spacing w:line="276" w:lineRule="auto"/>
        <w:ind w:right="-22"/>
      </w:pPr>
      <w:r>
        <w:rPr>
          <w:rFonts w:ascii="Arial" w:eastAsia="Arial" w:hAnsi="Arial"/>
          <w:b/>
          <w:sz w:val="19"/>
          <w:szCs w:val="19"/>
        </w:rPr>
        <w:t>Introduction</w:t>
      </w:r>
    </w:p>
    <w:p w14:paraId="2C41AF39" w14:textId="77777777" w:rsidR="006C736B" w:rsidRDefault="00366364">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humans are transmitted by mosquitoes (Gates, 2014), including pathogens such as the causative agent of malaria that have been associated with humans throughout our evolutionary history (Carter and Mendis, 2002), as well recently emergent infections</w:t>
      </w:r>
      <w:ins w:id="33"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s the Zika virus (World Health Organisation,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4"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5"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366364">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6"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366364">
      <w:pPr>
        <w:spacing w:line="276" w:lineRule="auto"/>
        <w:ind w:right="-22"/>
      </w:pPr>
      <w:r>
        <w:rPr>
          <w:rFonts w:ascii="Arial" w:eastAsia="Arial" w:hAnsi="Arial"/>
          <w:sz w:val="19"/>
          <w:szCs w:val="19"/>
        </w:rPr>
        <w:t xml:space="preserve">The second </w:t>
      </w:r>
      <w:del w:id="37" w:author="Benjamin Lambert" w:date="2019-08-28T11:20:00Z">
        <w:r>
          <w:rPr>
            <w:rFonts w:ascii="Arial" w:eastAsia="Arial" w:hAnsi="Arial"/>
            <w:sz w:val="19"/>
            <w:szCs w:val="19"/>
          </w:rPr>
          <w:delText xml:space="preserve">technique </w:delText>
        </w:r>
      </w:del>
      <w:ins w:id="38" w:author="Benjamin Lambert" w:date="2019-08-28T11:44:00Z">
        <w:r>
          <w:rPr>
            <w:rFonts w:ascii="Arial" w:eastAsia="Arial" w:hAnsi="Arial"/>
            <w:sz w:val="19"/>
            <w:szCs w:val="19"/>
          </w:rPr>
          <w:t>approach</w:t>
        </w:r>
      </w:ins>
      <w:ins w:id="39" w:author="Benjamin Lambert" w:date="2019-08-28T11:20:00Z">
        <w:r>
          <w:rPr>
            <w:rFonts w:ascii="Arial" w:eastAsia="Arial" w:hAnsi="Arial"/>
            <w:sz w:val="19"/>
            <w:szCs w:val="19"/>
          </w:rPr>
          <w:t xml:space="preserve"> </w:t>
        </w:r>
      </w:ins>
      <w:r>
        <w:rPr>
          <w:rFonts w:ascii="Arial" w:eastAsia="Arial" w:hAnsi="Arial"/>
          <w:sz w:val="19"/>
          <w:szCs w:val="19"/>
        </w:rPr>
        <w:t>is specific to</w:t>
      </w:r>
      <w:ins w:id="40"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41" w:author="Benjamin Lambert" w:date="2019-08-28T11:22:00Z">
        <w:r>
          <w:rPr>
            <w:rFonts w:ascii="Arial" w:eastAsia="Arial" w:hAnsi="Arial"/>
            <w:sz w:val="19"/>
            <w:szCs w:val="19"/>
          </w:rPr>
          <w:t xml:space="preserve"> and involves two distinct </w:t>
        </w:r>
      </w:ins>
      <w:ins w:id="42" w:author="Benjamin Lambert" w:date="2019-08-28T11:32:00Z">
        <w:r>
          <w:rPr>
            <w:rFonts w:ascii="Arial" w:eastAsia="Arial" w:hAnsi="Arial"/>
            <w:sz w:val="19"/>
            <w:szCs w:val="19"/>
          </w:rPr>
          <w:t xml:space="preserve">dissection-based </w:t>
        </w:r>
      </w:ins>
      <w:ins w:id="43" w:author="Benjamin Lambert" w:date="2019-08-28T11:23:00Z">
        <w:r>
          <w:rPr>
            <w:rFonts w:ascii="Arial" w:eastAsia="Arial" w:hAnsi="Arial"/>
            <w:sz w:val="19"/>
            <w:szCs w:val="19"/>
          </w:rPr>
          <w:t>techniques.</w:t>
        </w:r>
      </w:ins>
      <w:r>
        <w:rPr>
          <w:rFonts w:ascii="Arial" w:eastAsia="Arial" w:hAnsi="Arial"/>
          <w:sz w:val="19"/>
          <w:szCs w:val="19"/>
        </w:rPr>
        <w:t xml:space="preserve"> </w:t>
      </w:r>
      <w:del w:id="44" w:author="Benjamin Lambert" w:date="2019-08-28T11:21:00Z">
        <w:r>
          <w:rPr>
            <w:rFonts w:ascii="Arial" w:eastAsia="Arial" w:hAnsi="Arial"/>
            <w:sz w:val="19"/>
            <w:szCs w:val="19"/>
          </w:rPr>
          <w:delText xml:space="preserve">(Polovodova, 1949; Detinova, 1962). </w:delText>
        </w:r>
      </w:del>
      <w:ins w:id="45" w:author="Benjamin Lambert" w:date="2019-08-28T11:23:00Z">
        <w:r>
          <w:rPr>
            <w:rFonts w:ascii="Arial" w:eastAsia="Arial" w:hAnsi="Arial"/>
            <w:sz w:val="19"/>
            <w:szCs w:val="19"/>
          </w:rPr>
          <w:t>The simple</w:t>
        </w:r>
      </w:ins>
      <w:ins w:id="46" w:author="Benjamin Lambert" w:date="2019-08-28T11:24:00Z">
        <w:r>
          <w:rPr>
            <w:rFonts w:ascii="Arial" w:eastAsia="Arial" w:hAnsi="Arial"/>
            <w:sz w:val="19"/>
            <w:szCs w:val="19"/>
          </w:rPr>
          <w:t>st and most widely used approach is based on</w:t>
        </w:r>
      </w:ins>
      <w:ins w:id="47" w:author="Benjamin Lambert" w:date="2019-08-28T11:26:00Z">
        <w:r>
          <w:rPr>
            <w:rFonts w:ascii="Arial" w:eastAsia="Arial" w:hAnsi="Arial"/>
            <w:sz w:val="19"/>
            <w:szCs w:val="19"/>
          </w:rPr>
          <w:t xml:space="preserve"> the observation that </w:t>
        </w:r>
      </w:ins>
      <w:ins w:id="48" w:author="Benjamin Lambert" w:date="2019-08-28T11:25:00Z">
        <w:r>
          <w:rPr>
            <w:rFonts w:ascii="Arial" w:eastAsia="Arial" w:hAnsi="Arial"/>
            <w:sz w:val="19"/>
            <w:szCs w:val="19"/>
          </w:rPr>
          <w:t xml:space="preserve">the </w:t>
        </w:r>
      </w:ins>
      <w:ins w:id="49" w:author="Benjamin Lambert" w:date="2019-08-28T11:26:00Z">
        <w:r>
          <w:rPr>
            <w:rFonts w:ascii="Arial" w:eastAsia="Arial" w:hAnsi="Arial"/>
            <w:sz w:val="19"/>
            <w:szCs w:val="19"/>
          </w:rPr>
          <w:t>a</w:t>
        </w:r>
      </w:ins>
      <w:ins w:id="50" w:author="Benjamin Lambert" w:date="2019-08-28T11:27:00Z">
        <w:r>
          <w:rPr>
            <w:rFonts w:ascii="Arial" w:eastAsia="Arial" w:hAnsi="Arial"/>
            <w:sz w:val="19"/>
            <w:szCs w:val="19"/>
          </w:rPr>
          <w:t>ppearance of</w:t>
        </w:r>
      </w:ins>
      <w:ins w:id="51" w:author="Benjamin Lambert" w:date="2019-08-28T11:35:00Z">
        <w:r>
          <w:rPr>
            <w:rFonts w:ascii="Arial" w:eastAsia="Arial" w:hAnsi="Arial"/>
            <w:sz w:val="19"/>
            <w:szCs w:val="19"/>
          </w:rPr>
          <w:t xml:space="preserve"> the</w:t>
        </w:r>
      </w:ins>
      <w:ins w:id="52" w:author="Benjamin Lambert" w:date="2019-08-28T11:27:00Z">
        <w:r>
          <w:rPr>
            <w:rFonts w:ascii="Arial" w:eastAsia="Arial" w:hAnsi="Arial"/>
            <w:sz w:val="19"/>
            <w:szCs w:val="19"/>
          </w:rPr>
          <w:t xml:space="preserve"> </w:t>
        </w:r>
      </w:ins>
      <w:ins w:id="53" w:author="Benjamin Lambert" w:date="2019-08-28T11:30:00Z">
        <w:r>
          <w:rPr>
            <w:rFonts w:ascii="Arial" w:eastAsia="Arial" w:hAnsi="Arial"/>
            <w:sz w:val="19"/>
            <w:szCs w:val="19"/>
          </w:rPr>
          <w:t xml:space="preserve">fine tracheoles </w:t>
        </w:r>
      </w:ins>
      <w:ins w:id="54" w:author="Benjamin Lambert" w:date="2019-08-28T11:31:00Z">
        <w:r>
          <w:rPr>
            <w:rFonts w:ascii="Arial" w:eastAsia="Arial" w:hAnsi="Arial"/>
            <w:sz w:val="19"/>
            <w:szCs w:val="19"/>
          </w:rPr>
          <w:t>incas</w:t>
        </w:r>
      </w:ins>
      <w:ins w:id="55" w:author="Benjamin Lambert" w:date="2019-08-28T12:00:00Z">
        <w:r>
          <w:rPr>
            <w:rFonts w:ascii="Arial" w:eastAsia="Arial" w:hAnsi="Arial"/>
            <w:sz w:val="19"/>
            <w:szCs w:val="19"/>
          </w:rPr>
          <w:t>ing</w:t>
        </w:r>
      </w:ins>
      <w:ins w:id="56" w:author="Benjamin Lambert" w:date="2019-08-28T11:31:00Z">
        <w:r>
          <w:rPr>
            <w:rFonts w:ascii="Arial" w:eastAsia="Arial" w:hAnsi="Arial"/>
            <w:sz w:val="19"/>
            <w:szCs w:val="19"/>
          </w:rPr>
          <w:t xml:space="preserve"> ovaries changes irreversibly when ovaries first develop (Detinova, 1945). </w:t>
        </w:r>
      </w:ins>
      <w:ins w:id="57" w:author="Benjamin Lambert" w:date="2019-08-28T11:36:00Z">
        <w:r>
          <w:rPr>
            <w:rFonts w:ascii="Arial" w:eastAsia="Arial" w:hAnsi="Arial"/>
            <w:sz w:val="19"/>
            <w:szCs w:val="19"/>
          </w:rPr>
          <w:t xml:space="preserve">The proportion of parous individuals – those </w:t>
        </w:r>
      </w:ins>
      <w:ins w:id="58" w:author="Benjamin Lambert" w:date="2019-08-28T11:37:00Z">
        <w:r>
          <w:rPr>
            <w:rFonts w:ascii="Arial" w:eastAsia="Arial" w:hAnsi="Arial"/>
            <w:sz w:val="19"/>
            <w:szCs w:val="19"/>
          </w:rPr>
          <w:t>individuals that have borne offspring – can be determined by dissecting field-caught specimens and</w:t>
        </w:r>
      </w:ins>
      <w:ins w:id="59" w:author="Benjamin Lambert" w:date="2019-08-28T11:38:00Z">
        <w:r>
          <w:rPr>
            <w:rFonts w:ascii="Arial" w:eastAsia="Arial" w:hAnsi="Arial"/>
            <w:sz w:val="19"/>
            <w:szCs w:val="19"/>
          </w:rPr>
          <w:t xml:space="preserve">, by making assumptions of the duration of gonotrophic cycles, </w:t>
        </w:r>
      </w:ins>
      <w:ins w:id="60" w:author="Benjamin Lambert" w:date="2019-08-28T11:39:00Z">
        <w:r>
          <w:rPr>
            <w:rFonts w:ascii="Arial" w:eastAsia="Arial" w:hAnsi="Arial"/>
            <w:sz w:val="19"/>
            <w:szCs w:val="19"/>
          </w:rPr>
          <w:t xml:space="preserve">yields estimates of lifespan. </w:t>
        </w:r>
      </w:ins>
      <w:ins w:id="61" w:author="Benjamin Lambert" w:date="2019-08-28T11:32:00Z">
        <w:r>
          <w:rPr>
            <w:rFonts w:ascii="Arial" w:eastAsia="Arial" w:hAnsi="Arial"/>
            <w:sz w:val="19"/>
            <w:szCs w:val="19"/>
          </w:rPr>
          <w:t>In honour of the ent</w:t>
        </w:r>
        <w:r>
          <w:rPr>
            <w:rFonts w:ascii="Arial" w:eastAsia="Arial" w:hAnsi="Arial"/>
            <w:sz w:val="19"/>
            <w:szCs w:val="19"/>
          </w:rPr>
          <w:t xml:space="preserve">omologist who first </w:t>
        </w:r>
      </w:ins>
      <w:ins w:id="62" w:author="Benjamin Lambert" w:date="2019-08-28T11:33:00Z">
        <w:r>
          <w:rPr>
            <w:rFonts w:ascii="Arial" w:eastAsia="Arial" w:hAnsi="Arial"/>
            <w:sz w:val="19"/>
            <w:szCs w:val="19"/>
          </w:rPr>
          <w:lastRenderedPageBreak/>
          <w:t xml:space="preserve">made this observation, this </w:t>
        </w:r>
      </w:ins>
      <w:ins w:id="63" w:author="Benjamin Lambert" w:date="2019-08-28T11:51:00Z">
        <w:r>
          <w:rPr>
            <w:rFonts w:ascii="Arial" w:eastAsia="Arial" w:hAnsi="Arial"/>
            <w:sz w:val="19"/>
            <w:szCs w:val="19"/>
          </w:rPr>
          <w:t>approach</w:t>
        </w:r>
      </w:ins>
      <w:ins w:id="64" w:author="Benjamin Lambert" w:date="2019-08-28T11:33:00Z">
        <w:r>
          <w:rPr>
            <w:rFonts w:ascii="Arial" w:eastAsia="Arial" w:hAnsi="Arial"/>
            <w:sz w:val="19"/>
            <w:szCs w:val="19"/>
          </w:rPr>
          <w:t xml:space="preserve"> is known as Detinova’s </w:t>
        </w:r>
      </w:ins>
      <w:ins w:id="65" w:author="Benjamin Lambert" w:date="2019-08-28T11:35:00Z">
        <w:r>
          <w:rPr>
            <w:rFonts w:ascii="Arial" w:eastAsia="Arial" w:hAnsi="Arial"/>
            <w:sz w:val="19"/>
            <w:szCs w:val="19"/>
          </w:rPr>
          <w:t>method.</w:t>
        </w:r>
      </w:ins>
      <w:ins w:id="66" w:author="Benjamin Lambert" w:date="2019-08-28T11:39:00Z">
        <w:r>
          <w:rPr>
            <w:rFonts w:ascii="Arial" w:eastAsia="Arial" w:hAnsi="Arial"/>
            <w:sz w:val="19"/>
            <w:szCs w:val="19"/>
          </w:rPr>
          <w:t xml:space="preserve"> </w:t>
        </w:r>
      </w:ins>
      <w:ins w:id="67" w:author="Benjamin Lambert" w:date="2019-08-28T11:52:00Z">
        <w:r>
          <w:rPr>
            <w:rFonts w:ascii="Arial" w:eastAsia="Arial" w:hAnsi="Arial"/>
            <w:sz w:val="19"/>
            <w:szCs w:val="19"/>
          </w:rPr>
          <w:t xml:space="preserve">The crude dissection technique needed to apply this </w:t>
        </w:r>
      </w:ins>
      <w:ins w:id="68" w:author="Benjamin Lambert" w:date="2019-08-28T11:53:00Z">
        <w:r>
          <w:rPr>
            <w:rFonts w:ascii="Arial" w:eastAsia="Arial" w:hAnsi="Arial"/>
            <w:sz w:val="19"/>
            <w:szCs w:val="19"/>
          </w:rPr>
          <w:t>method</w:t>
        </w:r>
      </w:ins>
      <w:ins w:id="69" w:author="Benjamin Lambert" w:date="2019-08-28T11:52:00Z">
        <w:r>
          <w:rPr>
            <w:rFonts w:ascii="Arial" w:eastAsia="Arial" w:hAnsi="Arial"/>
            <w:sz w:val="19"/>
            <w:szCs w:val="19"/>
          </w:rPr>
          <w:t xml:space="preserve"> means it has been widely adopted</w:t>
        </w:r>
      </w:ins>
      <w:ins w:id="70" w:author="Benjamin Lambert" w:date="2019-08-28T11:53:00Z">
        <w:r>
          <w:rPr>
            <w:rFonts w:ascii="Arial" w:eastAsia="Arial" w:hAnsi="Arial"/>
            <w:sz w:val="19"/>
            <w:szCs w:val="19"/>
          </w:rPr>
          <w:t xml:space="preserve">, but its simplicity means it provides </w:t>
        </w:r>
      </w:ins>
      <w:ins w:id="71" w:author="Benjamin Lambert" w:date="2019-08-28T11:54:00Z">
        <w:r>
          <w:rPr>
            <w:rFonts w:ascii="Arial" w:eastAsia="Arial" w:hAnsi="Arial"/>
            <w:sz w:val="19"/>
            <w:szCs w:val="19"/>
          </w:rPr>
          <w:t xml:space="preserve">limited information about </w:t>
        </w:r>
      </w:ins>
      <w:ins w:id="72" w:author="Benjamin Lambert" w:date="2019-08-28T11:55:00Z">
        <w:r>
          <w:rPr>
            <w:rFonts w:ascii="Arial" w:eastAsia="Arial" w:hAnsi="Arial"/>
            <w:sz w:val="19"/>
            <w:szCs w:val="19"/>
          </w:rPr>
          <w:t>mortality</w:t>
        </w:r>
      </w:ins>
      <w:ins w:id="73" w:author="Benjamin Lambert" w:date="2019-08-28T11:54:00Z">
        <w:r>
          <w:rPr>
            <w:rFonts w:ascii="Arial" w:eastAsia="Arial" w:hAnsi="Arial"/>
            <w:sz w:val="19"/>
            <w:szCs w:val="19"/>
          </w:rPr>
          <w:t xml:space="preserve">. </w:t>
        </w:r>
      </w:ins>
      <w:ins w:id="74" w:author="Benjamin Lambert" w:date="2019-08-28T11:40:00Z">
        <w:r>
          <w:rPr>
            <w:rFonts w:ascii="Arial" w:eastAsia="Arial" w:hAnsi="Arial"/>
            <w:sz w:val="19"/>
            <w:szCs w:val="19"/>
          </w:rPr>
          <w:t>The next approach requires more</w:t>
        </w:r>
      </w:ins>
      <w:ins w:id="75" w:author="Benjamin Lambert" w:date="2019-08-28T11:41:00Z">
        <w:r>
          <w:rPr>
            <w:rFonts w:ascii="Arial" w:eastAsia="Arial" w:hAnsi="Arial"/>
            <w:sz w:val="19"/>
            <w:szCs w:val="19"/>
          </w:rPr>
          <w:t xml:space="preserve"> sophisticated dissection and, rather than </w:t>
        </w:r>
      </w:ins>
      <w:ins w:id="76" w:author="Benjamin Lambert" w:date="2019-08-28T11:42:00Z">
        <w:r>
          <w:rPr>
            <w:rFonts w:ascii="Arial" w:eastAsia="Arial" w:hAnsi="Arial"/>
            <w:sz w:val="19"/>
            <w:szCs w:val="19"/>
          </w:rPr>
          <w:t>prod</w:t>
        </w:r>
      </w:ins>
      <w:ins w:id="77" w:author="Benjamin Lambert" w:date="2019-08-28T11:43:00Z">
        <w:r>
          <w:rPr>
            <w:rFonts w:ascii="Arial" w:eastAsia="Arial" w:hAnsi="Arial"/>
            <w:sz w:val="19"/>
            <w:szCs w:val="19"/>
          </w:rPr>
          <w:t>ucing</w:t>
        </w:r>
      </w:ins>
      <w:ins w:id="78" w:author="Benjamin Lambert" w:date="2019-08-28T11:41:00Z">
        <w:r>
          <w:rPr>
            <w:rFonts w:ascii="Arial" w:eastAsia="Arial" w:hAnsi="Arial"/>
            <w:sz w:val="19"/>
            <w:szCs w:val="19"/>
          </w:rPr>
          <w:t xml:space="preserve"> a dichotomous determination of reproductive status, yields a </w:t>
        </w:r>
      </w:ins>
      <w:ins w:id="79" w:author="Benjamin Lambert" w:date="2019-08-28T11:42:00Z">
        <w:r>
          <w:rPr>
            <w:rFonts w:ascii="Arial" w:eastAsia="Arial" w:hAnsi="Arial"/>
            <w:sz w:val="19"/>
            <w:szCs w:val="19"/>
          </w:rPr>
          <w:t>count of the number of reproductive cycles a mosquito has undergone.</w:t>
        </w:r>
      </w:ins>
      <w:ins w:id="80"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81"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2" w:author="Benjamin Lambert" w:date="2019-08-28T11:48:00Z">
        <w:r>
          <w:rPr>
            <w:rFonts w:ascii="Arial" w:eastAsia="Arial" w:hAnsi="Arial"/>
            <w:sz w:val="19"/>
            <w:szCs w:val="19"/>
          </w:rPr>
          <w:t xml:space="preserve"> (Polovodova, 1949)</w:t>
        </w:r>
      </w:ins>
      <w:r>
        <w:rPr>
          <w:rFonts w:ascii="Arial" w:eastAsia="Arial" w:hAnsi="Arial"/>
          <w:sz w:val="19"/>
          <w:szCs w:val="19"/>
        </w:rPr>
        <w:t xml:space="preserve">. </w:t>
      </w:r>
      <w:del w:id="83"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4" w:author="Benjamin Lambert" w:date="2019-08-28T11:43:00Z">
        <w:r>
          <w:rPr>
            <w:rFonts w:ascii="Arial" w:eastAsia="Arial" w:hAnsi="Arial"/>
            <w:sz w:val="19"/>
            <w:szCs w:val="19"/>
          </w:rPr>
          <w:t>A</w:t>
        </w:r>
      </w:ins>
      <w:del w:id="85" w:author="Benjamin Lambert" w:date="2019-08-28T11:43:00Z">
        <w:r>
          <w:rPr>
            <w:rFonts w:ascii="Arial" w:eastAsia="Arial" w:hAnsi="Arial"/>
            <w:sz w:val="19"/>
            <w:szCs w:val="19"/>
          </w:rPr>
          <w:delText>a</w:delText>
        </w:r>
      </w:del>
      <w:bookmarkStart w:id="86" w:name="page4"/>
      <w:bookmarkEnd w:id="86"/>
      <w:r>
        <w:rPr>
          <w:rFonts w:ascii="Arial" w:eastAsia="Arial" w:hAnsi="Arial"/>
          <w:sz w:val="19"/>
          <w:szCs w:val="19"/>
        </w:rPr>
        <w:t xml:space="preserve"> skilled dissector can </w:t>
      </w:r>
      <w:del w:id="87" w:author="Benjamin Lambert" w:date="2019-08-28T11:46:00Z">
        <w:r>
          <w:rPr>
            <w:rFonts w:ascii="Arial" w:eastAsia="Arial" w:hAnsi="Arial"/>
            <w:sz w:val="19"/>
            <w:szCs w:val="19"/>
          </w:rPr>
          <w:delText xml:space="preserve">distinguish </w:delText>
        </w:r>
      </w:del>
      <w:ins w:id="88"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9" w:author="Benjamin Lambert" w:date="2019-08-28T11:48:00Z">
        <w:r>
          <w:rPr>
            <w:rFonts w:ascii="Arial" w:eastAsia="Arial" w:hAnsi="Arial"/>
            <w:sz w:val="19"/>
            <w:szCs w:val="19"/>
          </w:rPr>
          <w:t>number of such dilations</w:t>
        </w:r>
      </w:ins>
      <w:ins w:id="90" w:author="Benjamin Lambert" w:date="2019-08-28T12:01:00Z">
        <w:r>
          <w:rPr>
            <w:rFonts w:ascii="Arial" w:eastAsia="Arial" w:hAnsi="Arial"/>
            <w:sz w:val="19"/>
            <w:szCs w:val="19"/>
          </w:rPr>
          <w:t>,</w:t>
        </w:r>
      </w:ins>
      <w:ins w:id="91" w:author="Benjamin Lambert" w:date="2019-08-28T11:48:00Z">
        <w:r>
          <w:rPr>
            <w:rFonts w:ascii="Arial" w:eastAsia="Arial" w:hAnsi="Arial"/>
            <w:sz w:val="19"/>
            <w:szCs w:val="19"/>
          </w:rPr>
          <w:t xml:space="preserve"> </w:t>
        </w:r>
      </w:ins>
      <w:del w:id="92" w:author="Benjamin Lambert" w:date="2019-08-28T11:48:00Z">
        <w:r>
          <w:rPr>
            <w:rFonts w:ascii="Arial" w:eastAsia="Arial" w:hAnsi="Arial"/>
            <w:sz w:val="19"/>
            <w:szCs w:val="19"/>
          </w:rPr>
          <w:delText xml:space="preserve">number of dilations from </w:delText>
        </w:r>
      </w:del>
      <w:del w:id="93" w:author="Benjamin Lambert" w:date="2019-08-28T11:46:00Z">
        <w:r>
          <w:rPr>
            <w:rFonts w:ascii="Arial" w:eastAsia="Arial" w:hAnsi="Arial"/>
            <w:sz w:val="19"/>
            <w:szCs w:val="19"/>
          </w:rPr>
          <w:delText xml:space="preserve">multiple </w:delText>
        </w:r>
      </w:del>
      <w:del w:id="94"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5"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6" w:author="Benjamin Lambert" w:date="2019-08-28T11:49:00Z">
        <w:r>
          <w:rPr>
            <w:rFonts w:ascii="Arial" w:eastAsia="Arial" w:hAnsi="Arial"/>
            <w:sz w:val="19"/>
            <w:szCs w:val="19"/>
          </w:rPr>
          <w:t xml:space="preserve">After the scientist first </w:t>
        </w:r>
      </w:ins>
      <w:ins w:id="97" w:author="Benjamin Lambert" w:date="2019-08-28T11:50:00Z">
        <w:r>
          <w:rPr>
            <w:rFonts w:ascii="Arial" w:eastAsia="Arial" w:hAnsi="Arial"/>
            <w:sz w:val="19"/>
            <w:szCs w:val="19"/>
          </w:rPr>
          <w:t>observing these changes, this approach is known as Polo</w:t>
        </w:r>
      </w:ins>
      <w:ins w:id="98" w:author="Benjamin Lambert" w:date="2019-08-28T11:51:00Z">
        <w:r>
          <w:rPr>
            <w:rFonts w:ascii="Arial" w:eastAsia="Arial" w:hAnsi="Arial"/>
            <w:sz w:val="19"/>
            <w:szCs w:val="19"/>
          </w:rPr>
          <w:t xml:space="preserve">vodova’s method. </w:t>
        </w:r>
      </w:ins>
      <w:ins w:id="99"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100" w:author="Benjamin Lambert" w:date="2019-08-28T11:57:00Z">
        <w:r>
          <w:rPr>
            <w:rFonts w:ascii="Arial" w:eastAsia="Arial" w:hAnsi="Arial"/>
            <w:sz w:val="19"/>
            <w:szCs w:val="19"/>
          </w:rPr>
          <w:t xml:space="preserve">lack of consensus regarding the type of oogenesis </w:t>
        </w:r>
      </w:ins>
      <w:ins w:id="101" w:author="Benjamin Lambert" w:date="2019-08-28T15:39:00Z">
        <w:r>
          <w:rPr>
            <w:rFonts w:ascii="Arial" w:eastAsia="Arial" w:hAnsi="Arial"/>
            <w:sz w:val="19"/>
            <w:szCs w:val="19"/>
          </w:rPr>
          <w:t>producing</w:t>
        </w:r>
      </w:ins>
      <w:ins w:id="102" w:author="Benjamin Lambert" w:date="2019-08-28T11:58:00Z">
        <w:r>
          <w:rPr>
            <w:rFonts w:ascii="Arial" w:eastAsia="Arial" w:hAnsi="Arial"/>
            <w:sz w:val="19"/>
            <w:szCs w:val="19"/>
          </w:rPr>
          <w:t xml:space="preserve"> observable dilations, complicating interpretation of data.</w:t>
        </w:r>
      </w:ins>
      <w:ins w:id="103" w:author="Benjamin Lambert" w:date="2019-08-28T11:59:00Z">
        <w:r>
          <w:rPr>
            <w:rFonts w:ascii="Arial" w:eastAsia="Arial" w:hAnsi="Arial"/>
            <w:sz w:val="19"/>
            <w:szCs w:val="19"/>
          </w:rPr>
          <w:t xml:space="preserve"> Both dissection approaches are specific to females and require </w:t>
        </w:r>
      </w:ins>
      <w:ins w:id="104"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5" w:author="Benjamin Lambert" w:date="2019-08-28T12:02:00Z">
        <w:r>
          <w:rPr>
            <w:rFonts w:ascii="Arial" w:eastAsia="Arial" w:hAnsi="Arial"/>
            <w:sz w:val="19"/>
            <w:szCs w:val="19"/>
          </w:rPr>
          <w:t>.</w:t>
        </w:r>
      </w:ins>
    </w:p>
    <w:p w14:paraId="1007A3C1" w14:textId="77777777" w:rsidR="006C736B" w:rsidRDefault="00366364">
      <w:pPr>
        <w:spacing w:line="276" w:lineRule="auto"/>
        <w:ind w:right="-22"/>
        <w:rPr>
          <w:del w:id="106" w:author="Benjamin Lambert" w:date="2019-08-28T12:00:00Z"/>
          <w:rFonts w:ascii="Arial" w:eastAsia="Arial" w:hAnsi="Arial"/>
          <w:sz w:val="19"/>
          <w:szCs w:val="19"/>
        </w:rPr>
      </w:pPr>
      <w:del w:id="107"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8"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366364">
      <w:pPr>
        <w:spacing w:line="276" w:lineRule="auto"/>
        <w:ind w:right="-22"/>
      </w:pPr>
      <w:r>
        <w:rPr>
          <w:rFonts w:ascii="Arial" w:eastAsia="Arial" w:hAnsi="Arial"/>
          <w:sz w:val="19"/>
          <w:szCs w:val="19"/>
        </w:rPr>
        <w:t xml:space="preserve">An issue with </w:t>
      </w:r>
      <w:del w:id="109" w:author="Benjamin Lambert" w:date="2019-08-28T12:09:00Z">
        <w:r>
          <w:rPr>
            <w:rFonts w:ascii="Arial" w:eastAsia="Arial" w:hAnsi="Arial"/>
            <w:sz w:val="19"/>
            <w:szCs w:val="19"/>
          </w:rPr>
          <w:delText xml:space="preserve">both </w:delText>
        </w:r>
      </w:del>
      <w:ins w:id="110"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11"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2" w:author="Benjamin Lambert" w:date="2019-08-28T15:40:00Z">
        <w:r>
          <w:rPr>
            <w:rFonts w:ascii="Arial" w:eastAsia="Arial" w:hAnsi="Arial"/>
            <w:sz w:val="19"/>
            <w:szCs w:val="19"/>
          </w:rPr>
          <w:t>,</w:t>
        </w:r>
      </w:ins>
      <w:r>
        <w:rPr>
          <w:rFonts w:ascii="Arial" w:eastAsia="Arial" w:hAnsi="Arial"/>
          <w:sz w:val="19"/>
          <w:szCs w:val="19"/>
        </w:rPr>
        <w:t xml:space="preserve"> </w:t>
      </w:r>
      <w:ins w:id="113" w:author="Benjamin Lambert" w:date="2019-08-28T15:40:00Z">
        <w:r>
          <w:rPr>
            <w:rFonts w:ascii="Arial" w:eastAsia="Arial" w:hAnsi="Arial"/>
            <w:sz w:val="19"/>
            <w:szCs w:val="19"/>
          </w:rPr>
          <w:t xml:space="preserve">we </w:t>
        </w:r>
      </w:ins>
      <w:ins w:id="114" w:author="Benjamin Lambert" w:date="2019-08-28T12:20:00Z">
        <w:r>
          <w:rPr>
            <w:rFonts w:ascii="Arial" w:eastAsia="Arial" w:hAnsi="Arial"/>
            <w:sz w:val="19"/>
            <w:szCs w:val="19"/>
          </w:rPr>
          <w:t xml:space="preserve">apply a common statistical methodology </w:t>
        </w:r>
      </w:ins>
      <w:del w:id="115" w:author="Benjamin Lambert" w:date="2019-08-28T12:20:00Z">
        <w:r>
          <w:rPr>
            <w:rFonts w:ascii="Arial" w:eastAsia="Arial" w:hAnsi="Arial"/>
            <w:sz w:val="19"/>
            <w:szCs w:val="19"/>
          </w:rPr>
          <w:delText xml:space="preserve">we </w:delText>
        </w:r>
      </w:del>
      <w:ins w:id="116" w:author="Benjamin Lambert" w:date="2019-08-28T12:20:00Z">
        <w:r>
          <w:rPr>
            <w:rFonts w:ascii="Arial" w:eastAsia="Arial" w:hAnsi="Arial"/>
            <w:sz w:val="19"/>
            <w:szCs w:val="19"/>
          </w:rPr>
          <w:t xml:space="preserve">to </w:t>
        </w:r>
      </w:ins>
      <w:r>
        <w:rPr>
          <w:rFonts w:ascii="Arial" w:eastAsia="Arial" w:hAnsi="Arial"/>
          <w:sz w:val="19"/>
          <w:szCs w:val="19"/>
        </w:rPr>
        <w:t>analyse data from 232 MRR experiments</w:t>
      </w:r>
      <w:ins w:id="117" w:author="Benjamin Lambert" w:date="2019-08-28T12:16:00Z">
        <w:r>
          <w:rPr>
            <w:rFonts w:ascii="Arial" w:eastAsia="Arial" w:hAnsi="Arial"/>
            <w:sz w:val="19"/>
            <w:szCs w:val="19"/>
          </w:rPr>
          <w:t>, 1490</w:t>
        </w:r>
      </w:ins>
      <w:ins w:id="118" w:author="Benjamin Lambert" w:date="2019-08-28T12:17:00Z">
        <w:r>
          <w:rPr>
            <w:rFonts w:ascii="Arial" w:eastAsia="Arial" w:hAnsi="Arial"/>
            <w:sz w:val="19"/>
            <w:szCs w:val="19"/>
          </w:rPr>
          <w:t xml:space="preserve"> observations of parity obtained through Detinova’s method,</w:t>
        </w:r>
      </w:ins>
      <w:r>
        <w:rPr>
          <w:rFonts w:ascii="Arial" w:eastAsia="Arial" w:hAnsi="Arial"/>
          <w:sz w:val="19"/>
          <w:szCs w:val="19"/>
        </w:rPr>
        <w:t xml:space="preserve"> and 131 </w:t>
      </w:r>
      <w:del w:id="119"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20" w:author="Benjamin Lambert" w:date="2019-08-28T12:18:00Z">
        <w:r>
          <w:rPr>
            <w:rFonts w:ascii="Arial" w:eastAsia="Arial" w:hAnsi="Arial"/>
            <w:sz w:val="19"/>
            <w:szCs w:val="19"/>
          </w:rPr>
          <w:t xml:space="preserve"> Polovodova’s method</w:t>
        </w:r>
      </w:ins>
      <w:ins w:id="121" w:author="Benjamin Lambert" w:date="2019-08-28T12:20:00Z">
        <w:r>
          <w:rPr>
            <w:rFonts w:ascii="Arial" w:eastAsia="Arial" w:hAnsi="Arial"/>
            <w:sz w:val="19"/>
            <w:szCs w:val="19"/>
          </w:rPr>
          <w:t xml:space="preserve"> to determine physiological lifespan</w:t>
        </w:r>
      </w:ins>
      <w:del w:id="122" w:author="Benjamin Lambert" w:date="2019-08-28T12:18:00Z">
        <w:r>
          <w:rPr>
            <w:rFonts w:ascii="Arial" w:eastAsia="Arial" w:hAnsi="Arial"/>
            <w:sz w:val="19"/>
            <w:szCs w:val="19"/>
          </w:rPr>
          <w:delText xml:space="preserve">using </w:delText>
        </w:r>
      </w:del>
      <w:del w:id="123" w:author="Benjamin Lambert" w:date="2019-08-28T12:20:00Z">
        <w:r>
          <w:rPr>
            <w:rFonts w:ascii="Arial" w:eastAsia="Arial" w:hAnsi="Arial"/>
            <w:sz w:val="19"/>
            <w:szCs w:val="19"/>
          </w:rPr>
          <w:delText>a common statistical methodology</w:delText>
        </w:r>
      </w:del>
      <w:r>
        <w:rPr>
          <w:rFonts w:ascii="Arial" w:eastAsia="Arial" w:hAnsi="Arial"/>
          <w:sz w:val="19"/>
          <w:szCs w:val="19"/>
        </w:rPr>
        <w:t>. For both MRR and Detinova’s method</w:t>
      </w:r>
      <w:ins w:id="124"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ished databases; for MRR, we use that published by Guerra et al. (2014); for Detinova’s parity determination, we use a study of anopheline malaria vectors assembled by Massey et al. (2016).</w:t>
      </w:r>
      <w:del w:id="125"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6" w:author="Benjamin Lambert" w:date="2019-08-28T12:23:00Z">
        <w:r>
          <w:rPr>
            <w:rFonts w:ascii="Arial" w:eastAsia="Arial" w:hAnsi="Arial"/>
            <w:sz w:val="19"/>
            <w:szCs w:val="19"/>
          </w:rPr>
          <w:t>e extracted</w:t>
        </w:r>
      </w:ins>
      <w:ins w:id="127" w:author="Benjamin Lambert" w:date="2019-08-28T12:24:00Z">
        <w:r>
          <w:rPr>
            <w:rFonts w:ascii="Arial" w:eastAsia="Arial" w:hAnsi="Arial"/>
            <w:sz w:val="19"/>
            <w:szCs w:val="19"/>
          </w:rPr>
          <w:t xml:space="preserve"> </w:t>
        </w:r>
      </w:ins>
      <w:ins w:id="128"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ins w:id="129" w:author="Benjamin Lambert" w:date="2019-08-28T12:25:00Z">
        <w:r>
          <w:rPr>
            <w:rFonts w:ascii="Arial" w:eastAsia="Arial" w:hAnsi="Arial"/>
            <w:sz w:val="19"/>
            <w:szCs w:val="19"/>
          </w:rPr>
          <w:t>Polovo</w:t>
        </w:r>
        <w:r>
          <w:rPr>
            <w:rFonts w:ascii="Arial" w:eastAsia="Arial" w:hAnsi="Arial"/>
            <w:sz w:val="19"/>
            <w:szCs w:val="19"/>
          </w:rPr>
          <w:t>dova’s method ourselves via a literature search.</w:t>
        </w:r>
      </w:ins>
      <w:del w:id="130"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366364">
      <w:pPr>
        <w:spacing w:line="276" w:lineRule="auto"/>
        <w:ind w:right="-22"/>
        <w:rPr>
          <w:b/>
          <w:bCs/>
        </w:rPr>
      </w:pPr>
      <w:r>
        <w:rPr>
          <w:rFonts w:ascii="Arial" w:eastAsia="Arial" w:hAnsi="Arial"/>
          <w:b/>
          <w:bCs/>
          <w:sz w:val="19"/>
          <w:szCs w:val="19"/>
        </w:rPr>
        <w:t>Glossary (perhaps as a box)</w:t>
      </w:r>
    </w:p>
    <w:p w14:paraId="3591566F" w14:textId="77777777" w:rsidR="006C736B" w:rsidRDefault="00366364">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366364">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366364">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366364">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366364">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366364">
      <w:pPr>
        <w:numPr>
          <w:ilvl w:val="0"/>
          <w:numId w:val="6"/>
        </w:numPr>
        <w:spacing w:line="276" w:lineRule="auto"/>
      </w:pPr>
      <w:r>
        <w:rPr>
          <w:rFonts w:ascii="Arial" w:eastAsia="Arial" w:hAnsi="Arial"/>
          <w:sz w:val="19"/>
          <w:szCs w:val="19"/>
        </w:rPr>
        <w:t>Uni</w:t>
      </w:r>
      <w:r>
        <w:rPr>
          <w:rFonts w:ascii="Arial" w:eastAsia="Arial" w:hAnsi="Arial"/>
          <w:sz w:val="19"/>
          <w:szCs w:val="19"/>
        </w:rPr>
        <w:t>parous / Biparous / triparous – a female that has undergone 1 / 2 / 3 gonotrophic cycles.</w:t>
      </w:r>
    </w:p>
    <w:p w14:paraId="73D6CF59" w14:textId="77777777" w:rsidR="006C736B" w:rsidRDefault="00366364">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366364">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366364">
      <w:pPr>
        <w:numPr>
          <w:ilvl w:val="0"/>
          <w:numId w:val="6"/>
        </w:numPr>
        <w:spacing w:line="276" w:lineRule="auto"/>
      </w:pPr>
      <w:r>
        <w:rPr>
          <w:rFonts w:ascii="Arial" w:eastAsia="Arial" w:hAnsi="Arial"/>
          <w:sz w:val="19"/>
          <w:szCs w:val="19"/>
        </w:rPr>
        <w:t>Detinova’s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366364">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366364">
      <w:pPr>
        <w:spacing w:line="276" w:lineRule="auto"/>
        <w:ind w:right="-22"/>
      </w:pPr>
      <w:r>
        <w:rPr>
          <w:rFonts w:ascii="Arial" w:eastAsia="Arial" w:hAnsi="Arial"/>
          <w:b/>
          <w:sz w:val="19"/>
          <w:szCs w:val="19"/>
        </w:rPr>
        <w:t>Results</w:t>
      </w:r>
    </w:p>
    <w:p w14:paraId="444F4D52" w14:textId="77777777" w:rsidR="006C736B" w:rsidRDefault="00366364">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366364">
      <w:pPr>
        <w:spacing w:line="276" w:lineRule="auto"/>
        <w:ind w:right="-22"/>
      </w:pPr>
      <w:r>
        <w:rPr>
          <w:rFonts w:ascii="Arial" w:hAnsi="Arial"/>
          <w:b/>
          <w:sz w:val="19"/>
          <w:szCs w:val="19"/>
        </w:rPr>
        <w:t>Chronological longevity estimated from MRR studies</w:t>
      </w:r>
    </w:p>
    <w:p w14:paraId="070D8032" w14:textId="77777777" w:rsidR="006C736B" w:rsidRDefault="00366364">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 xml:space="preserve">annulipes </w:t>
      </w:r>
      <w:r>
        <w:rPr>
          <w:rFonts w:ascii="Arial" w:eastAsia="Arial" w:hAnsi="Arial"/>
          <w:i/>
          <w:sz w:val="19"/>
          <w:szCs w:val="19"/>
          <w:highlight w:val="yellow"/>
          <w:rPrChange w:id="131"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366364">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14963BB6" w:rsidR="006C736B" w:rsidRDefault="00366364">
      <w:pPr>
        <w:spacing w:line="276" w:lineRule="auto"/>
        <w:ind w:right="-22"/>
      </w:pPr>
      <w:r>
        <w:rPr>
          <w:rFonts w:ascii="Arial" w:eastAsia="Arial" w:hAnsi="Arial"/>
          <w:sz w:val="19"/>
          <w:szCs w:val="19"/>
        </w:rPr>
        <w:t xml:space="preserve">We next consider the impact of </w:t>
      </w:r>
      <w:r w:rsidR="00B22953">
        <w:rPr>
          <w:rFonts w:ascii="Arial" w:eastAsia="Arial" w:hAnsi="Arial"/>
          <w:sz w:val="19"/>
          <w:szCs w:val="19"/>
        </w:rPr>
        <w:t>three</w:t>
      </w:r>
      <w:r>
        <w:rPr>
          <w:rFonts w:ascii="Arial" w:eastAsia="Arial" w:hAnsi="Arial"/>
          <w:sz w:val="19"/>
          <w:szCs w:val="19"/>
        </w:rPr>
        <w:t xml:space="preserve"> additional factors that could influence our estimates of lifespan: (i) mosquito sex, (ii) whether or not the mosquitoes are fed with blood or sugar before release, (</w:t>
      </w:r>
      <w:r>
        <w:rPr>
          <w:rFonts w:ascii="Arial" w:eastAsia="Arial" w:hAnsi="Arial"/>
          <w:sz w:val="19"/>
          <w:szCs w:val="19"/>
        </w:rPr>
        <w:t>iii) the spatial extent of the recapture zone</w:t>
      </w:r>
      <w:r w:rsidR="00ED74BC">
        <w:rPr>
          <w:rFonts w:ascii="Arial" w:eastAsia="Arial" w:hAnsi="Arial"/>
          <w:sz w:val="19"/>
          <w:szCs w:val="19"/>
        </w:rPr>
        <w:t>.</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366364">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366364">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366364">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12F16CB9" w14:textId="03A0E594" w:rsidR="00B734B2" w:rsidRDefault="00366364" w:rsidP="00683AE7">
      <w:pPr>
        <w:pStyle w:val="3vff3xh4yd"/>
        <w:rPr>
          <w:rFonts w:ascii="Arial" w:hAnsi="Arial" w:cs="Arial"/>
          <w:b/>
          <w:sz w:val="19"/>
          <w:szCs w:val="19"/>
        </w:rPr>
      </w:pPr>
      <w:r>
        <w:rPr>
          <w:rFonts w:ascii="Arial" w:hAnsi="Arial" w:cs="Arial"/>
          <w:b/>
          <w:sz w:val="19"/>
          <w:szCs w:val="19"/>
        </w:rPr>
        <w:t xml:space="preserve">Reproductive longevity estimated from Polovodova’s dissection </w:t>
      </w:r>
      <w:r w:rsidR="00FC783F">
        <w:rPr>
          <w:rFonts w:ascii="Arial" w:hAnsi="Arial" w:cs="Arial"/>
          <w:b/>
          <w:sz w:val="19"/>
          <w:szCs w:val="19"/>
        </w:rPr>
        <w:t>data</w:t>
      </w:r>
    </w:p>
    <w:p w14:paraId="7CFE98FA" w14:textId="26833769" w:rsidR="006C736B" w:rsidRPr="00B734B2" w:rsidRDefault="00366364" w:rsidP="00683AE7">
      <w:pPr>
        <w:pStyle w:val="3vff3xh4yd"/>
        <w:rPr>
          <w:rFonts w:ascii="Arial" w:hAnsi="Arial" w:cs="Arial"/>
          <w:b/>
          <w:sz w:val="19"/>
          <w:szCs w:val="19"/>
        </w:rPr>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w:t>
      </w:r>
      <w:r>
        <w:rPr>
          <w:rFonts w:ascii="Arial" w:eastAsia="Arial" w:hAnsi="Arial"/>
          <w:sz w:val="19"/>
          <w:szCs w:val="19"/>
        </w:rPr>
        <w:t>greatest number of cycles</w:t>
      </w:r>
      <w:r w:rsidR="004C75F6">
        <w:rPr>
          <w:rFonts w:ascii="Arial" w:eastAsia="Arial" w:hAnsi="Arial"/>
          <w:sz w:val="19"/>
          <w:szCs w:val="19"/>
        </w:rPr>
        <w:t xml:space="preserve"> estimated</w:t>
      </w:r>
      <w:r>
        <w:rPr>
          <w:rFonts w:ascii="Arial" w:eastAsia="Arial" w:hAnsi="Arial"/>
          <w:sz w:val="19"/>
          <w:szCs w:val="19"/>
        </w:rPr>
        <w:t xml:space="preserve">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366364">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286F1C99" w:rsidR="006C736B" w:rsidRDefault="006279CE">
      <w:pPr>
        <w:spacing w:line="276" w:lineRule="auto"/>
        <w:ind w:right="-22"/>
      </w:pPr>
      <w:r>
        <w:rPr>
          <w:rFonts w:ascii="Arial" w:hAnsi="Arial"/>
          <w:b/>
          <w:sz w:val="19"/>
          <w:szCs w:val="19"/>
        </w:rPr>
        <w:t>Anopheline r</w:t>
      </w:r>
      <w:r w:rsidR="00A036EF">
        <w:rPr>
          <w:rFonts w:ascii="Arial" w:hAnsi="Arial"/>
          <w:b/>
          <w:sz w:val="19"/>
          <w:szCs w:val="19"/>
        </w:rPr>
        <w:t xml:space="preserve">eproductive longevity estimated </w:t>
      </w:r>
      <w:r w:rsidR="00366364">
        <w:rPr>
          <w:rFonts w:ascii="Arial" w:eastAsia="Times New Roman" w:hAnsi="Arial"/>
          <w:b/>
          <w:sz w:val="19"/>
          <w:szCs w:val="19"/>
          <w:lang w:val="en-GB" w:eastAsia="en-GB" w:bidi="ar-SA"/>
        </w:rPr>
        <w:t xml:space="preserve">from Detinova’s dissection </w:t>
      </w:r>
      <w:r w:rsidR="00FC783F">
        <w:rPr>
          <w:rFonts w:ascii="Arial" w:eastAsia="Times New Roman" w:hAnsi="Arial"/>
          <w:b/>
          <w:sz w:val="19"/>
          <w:szCs w:val="19"/>
          <w:lang w:val="en-GB" w:eastAsia="en-GB" w:bidi="ar-SA"/>
        </w:rPr>
        <w:t>data</w:t>
      </w:r>
    </w:p>
    <w:p w14:paraId="01AF3AF7" w14:textId="71292081" w:rsidR="009D1C22" w:rsidRDefault="00366364">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 xml:space="preserve">onomic quantities of Massey et al. (2016) contained dichotomous parity data for both species and species-complexes. To provide as much detail as possible, we estimated </w:t>
      </w:r>
      <w:r w:rsidR="00EF5F34">
        <w:rPr>
          <w:rFonts w:ascii="Arial" w:eastAsia="Times New Roman" w:hAnsi="Arial"/>
          <w:sz w:val="19"/>
          <w:szCs w:val="19"/>
          <w:lang w:val="en-GB" w:eastAsia="en-GB" w:bidi="ar-SA"/>
        </w:rPr>
        <w:t>the number of gonotrophic cycles completed before death</w:t>
      </w:r>
      <w:r w:rsidR="0019186C">
        <w:rPr>
          <w:rFonts w:ascii="Arial" w:eastAsia="Times New Roman" w:hAnsi="Arial"/>
          <w:sz w:val="19"/>
          <w:szCs w:val="19"/>
          <w:lang w:val="en-GB" w:eastAsia="en-GB" w:bidi="ar-SA"/>
        </w:rPr>
        <w:t xml:space="preserve"> at</w:t>
      </w:r>
      <w:r>
        <w:rPr>
          <w:rFonts w:ascii="Arial" w:eastAsia="Times New Roman" w:hAnsi="Arial"/>
          <w:sz w:val="19"/>
          <w:szCs w:val="19"/>
          <w:lang w:val="en-GB" w:eastAsia="en-GB" w:bidi="ar-SA"/>
        </w:rPr>
        <w:t xml:space="preserve">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else, we provided estimates at the level of </w:t>
      </w:r>
      <w:r w:rsidR="00EF4E69">
        <w:rPr>
          <w:rFonts w:ascii="Arial" w:eastAsia="Times New Roman" w:hAnsi="Arial"/>
          <w:sz w:val="19"/>
          <w:szCs w:val="19"/>
          <w:lang w:val="en-GB" w:eastAsia="en-GB" w:bidi="ar-SA"/>
        </w:rPr>
        <w:t>morphospecies</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w:t>
      </w:r>
    </w:p>
    <w:p w14:paraId="51D0E4BB" w14:textId="55E3BB1D" w:rsidR="0006667F" w:rsidRDefault="0006667F">
      <w:pPr>
        <w:spacing w:line="276" w:lineRule="auto"/>
        <w:ind w:right="-22"/>
        <w:rPr>
          <w:rFonts w:ascii="Arial" w:eastAsia="Times New Roman" w:hAnsi="Arial"/>
          <w:sz w:val="19"/>
          <w:szCs w:val="19"/>
          <w:lang w:val="en-GB" w:eastAsia="en-GB" w:bidi="ar-SA"/>
        </w:rPr>
      </w:pPr>
    </w:p>
    <w:p w14:paraId="1C8E37EE" w14:textId="0347DF68" w:rsidR="0006667F" w:rsidRPr="00CD6941" w:rsidRDefault="0006667F">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Across all studies…</w:t>
      </w:r>
      <w:r w:rsidR="00EC782B">
        <w:rPr>
          <w:rFonts w:ascii="Arial" w:eastAsia="Times New Roman" w:hAnsi="Arial"/>
          <w:sz w:val="19"/>
          <w:szCs w:val="19"/>
          <w:lang w:val="en-GB" w:eastAsia="en-GB" w:bidi="ar-SA"/>
        </w:rPr>
        <w:t>need individual estimates of lifespan!</w:t>
      </w:r>
    </w:p>
    <w:p w14:paraId="5594D254" w14:textId="77777777" w:rsidR="009D1C22" w:rsidRDefault="009D1C22">
      <w:pPr>
        <w:spacing w:line="276" w:lineRule="auto"/>
        <w:ind w:right="-22"/>
        <w:rPr>
          <w:rFonts w:ascii="Arial" w:eastAsia="Times New Roman" w:hAnsi="Arial"/>
          <w:sz w:val="19"/>
          <w:szCs w:val="19"/>
          <w:lang w:val="en-GB" w:eastAsia="en-GB" w:bidi="ar-SA"/>
        </w:rPr>
      </w:pPr>
    </w:p>
    <w:p w14:paraId="38A0BD53" w14:textId="4AFA5402" w:rsidR="006C736B" w:rsidRDefault="00366364">
      <w:pPr>
        <w:spacing w:line="276" w:lineRule="auto"/>
        <w:ind w:right="-22"/>
      </w:pPr>
      <w:r>
        <w:rPr>
          <w:rFonts w:ascii="Arial" w:eastAsia="Times New Roman" w:hAnsi="Arial"/>
          <w:sz w:val="19"/>
          <w:szCs w:val="19"/>
          <w:lang w:val="en-GB" w:eastAsia="en-GB" w:bidi="ar-SA"/>
        </w:rPr>
        <w:t xml:space="preserve">The two </w:t>
      </w:r>
      <w:r>
        <w:rPr>
          <w:rFonts w:ascii="Arial" w:eastAsia="Times New Roman" w:hAnsi="Arial"/>
          <w:sz w:val="19"/>
          <w:szCs w:val="19"/>
          <w:lang w:val="en-GB" w:eastAsia="en-GB" w:bidi="ar-SA"/>
        </w:rPr>
        <w:t xml:space="preserve">species </w:t>
      </w:r>
      <w:r w:rsidR="007A527D">
        <w:rPr>
          <w:rFonts w:ascii="Arial" w:eastAsia="Times New Roman" w:hAnsi="Arial"/>
          <w:sz w:val="19"/>
          <w:szCs w:val="19"/>
          <w:lang w:val="en-GB" w:eastAsia="en-GB" w:bidi="ar-SA"/>
        </w:rPr>
        <w:t>with the lowest</w:t>
      </w:r>
      <w:r w:rsidR="00B67527">
        <w:rPr>
          <w:rFonts w:ascii="Arial" w:eastAsia="Times New Roman" w:hAnsi="Arial"/>
          <w:sz w:val="19"/>
          <w:szCs w:val="19"/>
          <w:lang w:val="en-GB" w:eastAsia="en-GB" w:bidi="ar-SA"/>
        </w:rPr>
        <w:t xml:space="preserve"> estimated lifespans </w:t>
      </w:r>
      <w:r>
        <w:rPr>
          <w:rFonts w:ascii="Arial" w:eastAsia="Times New Roman" w:hAnsi="Arial"/>
          <w:sz w:val="19"/>
          <w:szCs w:val="19"/>
          <w:lang w:val="en-GB" w:eastAsia="en-GB" w:bidi="ar-SA"/>
        </w:rPr>
        <w:t xml:space="preserve">belong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spec</w:t>
      </w:r>
      <w:r>
        <w:rPr>
          <w:rFonts w:ascii="Arial" w:eastAsia="Times New Roman" w:hAnsi="Arial"/>
          <w:sz w:val="19"/>
          <w:szCs w:val="19"/>
          <w:lang w:val="en-GB" w:eastAsia="en-GB" w:bidi="ar-SA"/>
        </w:rPr>
        <w:t>ies complex – a malaria vector found throughout South America – with</w:t>
      </w:r>
      <w:r>
        <w:rPr>
          <w:rFonts w:ascii="Arial" w:eastAsia="Times New Roman" w:hAnsi="Arial"/>
          <w:sz w:val="19"/>
          <w:szCs w:val="19"/>
          <w:lang w:val="en-GB" w:eastAsia="en-GB" w:bidi="ar-SA"/>
        </w:rPr>
        <w:t xml:space="preserve"> </w:t>
      </w:r>
      <w:r w:rsidR="00175D10">
        <w:rPr>
          <w:rFonts w:ascii="Arial" w:eastAsia="Times New Roman" w:hAnsi="Arial"/>
          <w:i/>
          <w:iCs/>
          <w:sz w:val="19"/>
          <w:szCs w:val="19"/>
          <w:lang w:val="en-GB" w:eastAsia="en-GB" w:bidi="ar-SA"/>
        </w:rPr>
        <w:t>An. albitarsis (</w:t>
      </w:r>
      <w:r w:rsidR="00175D10">
        <w:rPr>
          <w:rFonts w:ascii="Arial" w:eastAsia="Times New Roman" w:hAnsi="Arial"/>
          <w:sz w:val="19"/>
          <w:szCs w:val="19"/>
          <w:lang w:val="en-GB" w:eastAsia="en-GB" w:bidi="ar-SA"/>
        </w:rPr>
        <w:t>formerly</w:t>
      </w:r>
      <w:r w:rsidR="00175D10">
        <w:rPr>
          <w:rFonts w:ascii="Arial" w:eastAsia="Times New Roman" w:hAnsi="Arial"/>
          <w:i/>
          <w:iCs/>
          <w:sz w:val="19"/>
          <w:szCs w:val="19"/>
          <w:lang w:val="en-GB" w:eastAsia="en-GB" w:bidi="ar-SA"/>
        </w:rPr>
        <w:t xml:space="preserve"> Sp. A</w:t>
      </w:r>
      <w:r w:rsidR="00175D10">
        <w:rPr>
          <w:rFonts w:ascii="Arial" w:eastAsia="Times New Roman" w:hAnsi="Arial"/>
          <w:sz w:val="19"/>
          <w:szCs w:val="19"/>
          <w:lang w:val="en-GB" w:eastAsia="en-GB" w:bidi="ar-SA"/>
        </w:rPr>
        <w:t xml:space="preserve">) </w:t>
      </w:r>
      <w:r w:rsidR="0051759F">
        <w:rPr>
          <w:rFonts w:ascii="Arial" w:eastAsia="Times New Roman" w:hAnsi="Arial"/>
          <w:sz w:val="19"/>
          <w:szCs w:val="19"/>
          <w:lang w:val="en-GB" w:eastAsia="en-GB" w:bidi="ar-SA"/>
        </w:rPr>
        <w:t xml:space="preserve">and </w:t>
      </w:r>
      <w:r w:rsidR="008D4482">
        <w:rPr>
          <w:rFonts w:ascii="Arial" w:eastAsia="Times New Roman" w:hAnsi="Arial"/>
          <w:i/>
          <w:iCs/>
          <w:sz w:val="19"/>
          <w:szCs w:val="19"/>
          <w:lang w:val="en-GB" w:eastAsia="en-GB" w:bidi="ar-SA"/>
        </w:rPr>
        <w:t xml:space="preserve">An. albitarsis (Sp. B) </w:t>
      </w:r>
      <w:r w:rsidR="00175D10">
        <w:rPr>
          <w:rFonts w:ascii="Arial" w:eastAsia="Times New Roman" w:hAnsi="Arial"/>
          <w:sz w:val="19"/>
          <w:szCs w:val="19"/>
          <w:lang w:val="en-GB" w:eastAsia="en-GB" w:bidi="ar-SA"/>
        </w:rPr>
        <w:t>both</w:t>
      </w:r>
      <w:r w:rsidR="0096144A">
        <w:rPr>
          <w:rFonts w:ascii="Arial" w:eastAsia="Times New Roman" w:hAnsi="Arial"/>
          <w:sz w:val="19"/>
          <w:szCs w:val="19"/>
          <w:lang w:val="en-GB" w:eastAsia="en-GB" w:bidi="ar-SA"/>
        </w:rPr>
        <w:t xml:space="preserve"> </w:t>
      </w:r>
      <w:r w:rsidR="008A3A99">
        <w:rPr>
          <w:rFonts w:ascii="Arial" w:eastAsia="Times New Roman" w:hAnsi="Arial"/>
          <w:sz w:val="19"/>
          <w:szCs w:val="19"/>
          <w:lang w:val="en-GB" w:eastAsia="en-GB" w:bidi="ar-SA"/>
        </w:rPr>
        <w:t xml:space="preserve">estimated to complete </w:t>
      </w:r>
      <w:r w:rsidR="00E92F1E" w:rsidRPr="00A42DDA">
        <w:rPr>
          <w:rFonts w:ascii="Arial" w:eastAsia="Times New Roman" w:hAnsi="Arial"/>
          <w:sz w:val="19"/>
          <w:szCs w:val="19"/>
          <w:highlight w:val="yellow"/>
          <w:lang w:val="en-GB" w:eastAsia="en-GB" w:bidi="ar-SA"/>
        </w:rPr>
        <w:t>0.6</w:t>
      </w:r>
      <w:r w:rsidR="00E92F1E">
        <w:rPr>
          <w:rFonts w:ascii="Arial" w:eastAsia="Times New Roman" w:hAnsi="Arial"/>
          <w:sz w:val="19"/>
          <w:szCs w:val="19"/>
          <w:lang w:val="en-GB" w:eastAsia="en-GB" w:bidi="ar-SA"/>
        </w:rPr>
        <w:t xml:space="preserve"> cycles in </w:t>
      </w:r>
      <w:r w:rsidR="000E1C1E">
        <w:rPr>
          <w:rFonts w:ascii="Arial" w:eastAsia="Times New Roman" w:hAnsi="Arial"/>
          <w:sz w:val="19"/>
          <w:szCs w:val="19"/>
          <w:lang w:val="en-GB" w:eastAsia="en-GB" w:bidi="ar-SA"/>
        </w:rPr>
        <w:t>their</w:t>
      </w:r>
      <w:r w:rsidR="00E92F1E">
        <w:rPr>
          <w:rFonts w:ascii="Arial" w:eastAsia="Times New Roman" w:hAnsi="Arial"/>
          <w:sz w:val="19"/>
          <w:szCs w:val="19"/>
          <w:lang w:val="en-GB" w:eastAsia="en-GB" w:bidi="ar-SA"/>
        </w:rPr>
        <w:t xml:space="preserve"> lifetime</w:t>
      </w:r>
      <w:r w:rsidR="00257751">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(Fig. X). The </w:t>
      </w:r>
      <w:r w:rsidR="00FA5710">
        <w:rPr>
          <w:rFonts w:ascii="Arial" w:eastAsia="Times New Roman" w:hAnsi="Arial"/>
          <w:sz w:val="19"/>
          <w:szCs w:val="19"/>
          <w:lang w:val="en-GB" w:eastAsia="en-GB" w:bidi="ar-SA"/>
        </w:rPr>
        <w:t>longest-lived</w:t>
      </w:r>
      <w:r w:rsidR="009B0623">
        <w:rPr>
          <w:rFonts w:ascii="Arial" w:eastAsia="Times New Roman" w:hAnsi="Arial"/>
          <w:sz w:val="19"/>
          <w:szCs w:val="19"/>
          <w:lang w:val="en-GB" w:eastAsia="en-GB" w:bidi="ar-SA"/>
        </w:rPr>
        <w:t xml:space="preserve"> species</w:t>
      </w:r>
      <w:r>
        <w:rPr>
          <w:rFonts w:ascii="Arial" w:eastAsia="Times New Roman" w:hAnsi="Arial"/>
          <w:sz w:val="19"/>
          <w:szCs w:val="19"/>
          <w:lang w:val="en-GB" w:eastAsia="en-GB" w:bidi="ar-SA"/>
        </w:rPr>
        <w:t xml:space="preserve"> also belonged to the </w:t>
      </w:r>
      <w:r>
        <w:rPr>
          <w:rFonts w:ascii="Arial" w:eastAsia="Times New Roman" w:hAnsi="Arial"/>
          <w:i/>
          <w:iCs/>
          <w:sz w:val="19"/>
          <w:szCs w:val="19"/>
          <w:lang w:val="en-GB" w:eastAsia="en-GB" w:bidi="ar-SA"/>
        </w:rPr>
        <w:t>An. alb</w:t>
      </w:r>
      <w:r>
        <w:rPr>
          <w:rFonts w:ascii="Arial" w:eastAsia="Times New Roman" w:hAnsi="Arial"/>
          <w:i/>
          <w:iCs/>
          <w:sz w:val="19"/>
          <w:szCs w:val="19"/>
          <w:lang w:val="en-GB" w:eastAsia="en-GB" w:bidi="ar-SA"/>
        </w:rPr>
        <w:t>itarsis</w:t>
      </w:r>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An. albitarsis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sidR="008C2EFB">
        <w:rPr>
          <w:rFonts w:ascii="Arial" w:eastAsia="Times New Roman" w:hAnsi="Arial"/>
          <w:sz w:val="19"/>
          <w:szCs w:val="19"/>
          <w:lang w:val="en-GB" w:eastAsia="en-GB" w:bidi="ar-SA"/>
        </w:rPr>
        <w:t xml:space="preserve">; </w:t>
      </w:r>
      <w:r w:rsidR="008C2EFB" w:rsidRPr="008C2EFB">
        <w:rPr>
          <w:rFonts w:ascii="Arial" w:eastAsia="Times New Roman" w:hAnsi="Arial"/>
          <w:sz w:val="19"/>
          <w:szCs w:val="19"/>
          <w:highlight w:val="yellow"/>
          <w:lang w:val="en-GB" w:eastAsia="en-GB" w:bidi="ar-SA"/>
        </w:rPr>
        <w:t>3.7</w:t>
      </w:r>
      <w:r w:rsidR="008C2EFB">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hinting </w:t>
      </w:r>
      <w:r w:rsidR="00BA693C">
        <w:rPr>
          <w:rFonts w:ascii="Arial" w:eastAsia="Times New Roman" w:hAnsi="Arial"/>
          <w:sz w:val="19"/>
          <w:szCs w:val="19"/>
          <w:lang w:val="en-GB" w:eastAsia="en-GB" w:bidi="ar-SA"/>
        </w:rPr>
        <w:t>at</w:t>
      </w:r>
      <w:r>
        <w:rPr>
          <w:rFonts w:ascii="Arial" w:eastAsia="Times New Roman" w:hAnsi="Arial"/>
          <w:sz w:val="19"/>
          <w:szCs w:val="19"/>
          <w:lang w:val="en-GB" w:eastAsia="en-GB" w:bidi="ar-SA"/>
        </w:rPr>
        <w:t xml:space="preserve">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An. funestus</w:t>
      </w:r>
      <w:r>
        <w:rPr>
          <w:rFonts w:ascii="Arial" w:eastAsia="Times New Roman" w:hAnsi="Arial"/>
          <w:sz w:val="19"/>
          <w:szCs w:val="19"/>
          <w:lang w:val="en-GB" w:eastAsia="en-GB" w:bidi="ar-SA"/>
        </w:rPr>
        <w:t xml:space="preserve">, </w:t>
      </w:r>
      <w:r w:rsidR="001167D9">
        <w:rPr>
          <w:rFonts w:ascii="Arial" w:eastAsia="Times New Roman" w:hAnsi="Arial"/>
          <w:sz w:val="19"/>
          <w:szCs w:val="19"/>
          <w:lang w:val="en-GB" w:eastAsia="en-GB" w:bidi="ar-SA"/>
        </w:rPr>
        <w:t>estimated</w:t>
      </w:r>
      <w:r w:rsidR="00F83F61">
        <w:rPr>
          <w:rFonts w:ascii="Arial" w:eastAsia="Times New Roman" w:hAnsi="Arial"/>
          <w:sz w:val="19"/>
          <w:szCs w:val="19"/>
          <w:lang w:val="en-GB" w:eastAsia="en-GB" w:bidi="ar-SA"/>
        </w:rPr>
        <w:t xml:space="preserve"> to live for </w:t>
      </w:r>
      <w:r w:rsidR="00C56555" w:rsidRPr="00C56555">
        <w:rPr>
          <w:rFonts w:ascii="Arial" w:eastAsia="Times New Roman" w:hAnsi="Arial"/>
          <w:sz w:val="19"/>
          <w:szCs w:val="19"/>
          <w:highlight w:val="yellow"/>
          <w:lang w:val="en-GB" w:eastAsia="en-GB" w:bidi="ar-SA"/>
        </w:rPr>
        <w:t>3.0</w:t>
      </w:r>
      <w:r w:rsidR="00C56555">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xml:space="preserve">, and, in Asia, </w:t>
      </w:r>
      <w:r>
        <w:rPr>
          <w:rFonts w:ascii="Arial" w:eastAsia="Times New Roman" w:hAnsi="Arial"/>
          <w:i/>
          <w:iCs/>
          <w:sz w:val="19"/>
          <w:szCs w:val="19"/>
          <w:lang w:val="en-GB" w:eastAsia="en-GB" w:bidi="ar-SA"/>
        </w:rPr>
        <w:t>An. leucosphyrus</w:t>
      </w:r>
      <w:r w:rsidR="005A61C4">
        <w:rPr>
          <w:rFonts w:ascii="Arial" w:eastAsia="Times New Roman" w:hAnsi="Arial"/>
          <w:sz w:val="19"/>
          <w:szCs w:val="19"/>
          <w:lang w:val="en-GB" w:eastAsia="en-GB" w:bidi="ar-SA"/>
        </w:rPr>
        <w:t xml:space="preserve"> (</w:t>
      </w:r>
      <w:r w:rsidR="005A61C4" w:rsidRPr="004F3471">
        <w:rPr>
          <w:rFonts w:ascii="Arial" w:eastAsia="Times New Roman" w:hAnsi="Arial"/>
          <w:sz w:val="19"/>
          <w:szCs w:val="19"/>
          <w:highlight w:val="yellow"/>
          <w:lang w:val="en-GB" w:eastAsia="en-GB" w:bidi="ar-SA"/>
        </w:rPr>
        <w:t>2.4</w:t>
      </w:r>
      <w:r w:rsidR="005A61C4">
        <w:rPr>
          <w:rFonts w:ascii="Arial" w:eastAsia="Times New Roman" w:hAnsi="Arial"/>
          <w:sz w:val="19"/>
          <w:szCs w:val="19"/>
          <w:lang w:val="en-GB" w:eastAsia="en-GB" w:bidi="ar-SA"/>
        </w:rPr>
        <w:t xml:space="preserve"> cycles). </w:t>
      </w:r>
      <w:r>
        <w:rPr>
          <w:rFonts w:ascii="Arial" w:eastAsia="Times New Roman" w:hAnsi="Arial"/>
          <w:sz w:val="19"/>
          <w:szCs w:val="19"/>
          <w:lang w:val="en-GB" w:eastAsia="en-GB" w:bidi="ar-SA"/>
        </w:rPr>
        <w:t xml:space="preserve">Across the </w:t>
      </w:r>
      <w:r>
        <w:rPr>
          <w:rFonts w:ascii="Arial" w:eastAsia="Times New Roman" w:hAnsi="Arial"/>
          <w:sz w:val="19"/>
          <w:szCs w:val="19"/>
          <w:lang w:val="en-GB" w:eastAsia="en-GB" w:bidi="ar-SA"/>
        </w:rPr>
        <w:t>complexes</w:t>
      </w:r>
      <w:r>
        <w:rPr>
          <w:rFonts w:ascii="Arial" w:eastAsia="Times New Roman" w:hAnsi="Arial"/>
          <w:sz w:val="19"/>
          <w:szCs w:val="19"/>
          <w:lang w:val="en-GB" w:eastAsia="en-GB" w:bidi="ar-SA"/>
        </w:rPr>
        <w:t xml:space="preserve">, the shortest-lived group was </w:t>
      </w:r>
      <w:r>
        <w:rPr>
          <w:rFonts w:ascii="Arial" w:eastAsia="Times New Roman" w:hAnsi="Arial"/>
          <w:i/>
          <w:iCs/>
          <w:sz w:val="19"/>
          <w:szCs w:val="19"/>
          <w:lang w:val="en-GB" w:eastAsia="en-GB" w:bidi="ar-SA"/>
        </w:rPr>
        <w:t>An. nuneztovari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An. funestus s</w:t>
      </w:r>
      <w:r>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28301409" w:rsidR="006C736B" w:rsidRPr="009F65E3" w:rsidRDefault="00366364">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In addition to species and species-complex estimates, we also pooled all data to produce continent level lifespan estimates</w:t>
      </w:r>
      <w:r>
        <w:rPr>
          <w:rFonts w:ascii="Arial" w:eastAsia="Times New Roman" w:hAnsi="Arial"/>
          <w:sz w:val="19"/>
          <w:szCs w:val="19"/>
          <w:lang w:val="en-GB" w:eastAsia="en-GB" w:bidi="ar-SA"/>
        </w:rPr>
        <w:t>. The anopheline species in Africa were estimated to live longest (</w:t>
      </w:r>
      <w:r w:rsidR="000E12CA" w:rsidRPr="000E12CA">
        <w:rPr>
          <w:rFonts w:ascii="Arial" w:eastAsia="Times New Roman" w:hAnsi="Arial"/>
          <w:sz w:val="19"/>
          <w:szCs w:val="19"/>
          <w:highlight w:val="yellow"/>
          <w:lang w:val="en-GB" w:eastAsia="en-GB" w:bidi="ar-SA"/>
        </w:rPr>
        <w:t>2.0</w:t>
      </w:r>
      <w:r w:rsidR="000E12CA">
        <w:rPr>
          <w:rFonts w:ascii="Arial" w:eastAsia="Times New Roman" w:hAnsi="Arial"/>
          <w:sz w:val="19"/>
          <w:szCs w:val="19"/>
          <w:lang w:val="en-GB" w:eastAsia="en-GB" w:bidi="ar-SA"/>
        </w:rPr>
        <w:t xml:space="preserve"> cycles; </w:t>
      </w:r>
      <w:r>
        <w:rPr>
          <w:rFonts w:ascii="Arial" w:eastAsia="Times New Roman" w:hAnsi="Arial"/>
          <w:sz w:val="19"/>
          <w:szCs w:val="19"/>
          <w:lang w:val="en-GB" w:eastAsia="en-GB" w:bidi="ar-SA"/>
        </w:rPr>
        <w:t>Fig. X), followed by Asian species (</w:t>
      </w:r>
      <w:r w:rsidR="001C7EEF" w:rsidRPr="001C7EEF">
        <w:rPr>
          <w:rFonts w:ascii="Arial" w:eastAsia="Times New Roman" w:hAnsi="Arial"/>
          <w:sz w:val="19"/>
          <w:szCs w:val="19"/>
          <w:highlight w:val="yellow"/>
          <w:lang w:val="en-GB" w:eastAsia="en-GB" w:bidi="ar-SA"/>
        </w:rPr>
        <w:t>1.3</w:t>
      </w:r>
      <w:r w:rsidR="001C7EEF">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then the Americas (</w:t>
      </w:r>
      <w:r w:rsidR="00875490" w:rsidRPr="00875490">
        <w:rPr>
          <w:rFonts w:ascii="Arial" w:eastAsia="Times New Roman" w:hAnsi="Arial"/>
          <w:sz w:val="19"/>
          <w:szCs w:val="19"/>
          <w:highlight w:val="yellow"/>
          <w:lang w:val="en-GB" w:eastAsia="en-GB" w:bidi="ar-SA"/>
        </w:rPr>
        <w:t>1.1</w:t>
      </w:r>
      <w:r w:rsidR="00875490">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xml:space="preserve">. </w:t>
      </w:r>
      <w:r w:rsidR="00DA1E80">
        <w:rPr>
          <w:rFonts w:ascii="Arial" w:eastAsia="Times New Roman" w:hAnsi="Arial"/>
          <w:sz w:val="19"/>
          <w:szCs w:val="19"/>
          <w:lang w:val="en-GB" w:eastAsia="en-GB" w:bidi="ar-SA"/>
        </w:rPr>
        <w:t>We note</w:t>
      </w:r>
      <w:r w:rsidR="00913F95">
        <w:rPr>
          <w:rFonts w:ascii="Arial" w:eastAsia="Times New Roman" w:hAnsi="Arial"/>
          <w:sz w:val="19"/>
          <w:szCs w:val="19"/>
          <w:lang w:val="en-GB" w:eastAsia="en-GB" w:bidi="ar-SA"/>
        </w:rPr>
        <w:t xml:space="preserve"> in passing</w:t>
      </w:r>
      <w:bookmarkStart w:id="132" w:name="_GoBack"/>
      <w:bookmarkEnd w:id="132"/>
      <w:r w:rsidR="00DA1E80">
        <w:rPr>
          <w:rFonts w:ascii="Arial" w:eastAsia="Times New Roman" w:hAnsi="Arial"/>
          <w:sz w:val="19"/>
          <w:szCs w:val="19"/>
          <w:lang w:val="en-GB" w:eastAsia="en-GB" w:bidi="ar-SA"/>
        </w:rPr>
        <w:t xml:space="preserve"> that this pattern of lifespan roughly echoes that seen in the burden of disease, where Africa is subject to</w:t>
      </w:r>
      <w:r w:rsidR="00672190">
        <w:rPr>
          <w:rFonts w:ascii="Arial" w:eastAsia="Times New Roman" w:hAnsi="Arial"/>
          <w:sz w:val="19"/>
          <w:szCs w:val="19"/>
          <w:lang w:val="en-GB" w:eastAsia="en-GB" w:bidi="ar-SA"/>
        </w:rPr>
        <w:t xml:space="preserve"> the highest burden followed by Asia and the Americas.</w:t>
      </w:r>
      <w:r w:rsidR="009F65E3">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Pooling all data, we estimated that overall average anopheline</w:t>
      </w:r>
      <w:r w:rsidR="00504362">
        <w:rPr>
          <w:rFonts w:ascii="Arial" w:eastAsia="Times New Roman" w:hAnsi="Arial"/>
          <w:sz w:val="19"/>
          <w:szCs w:val="19"/>
          <w:lang w:val="en-GB" w:eastAsia="en-GB" w:bidi="ar-SA"/>
        </w:rPr>
        <w:t xml:space="preserve"> lifespan was </w:t>
      </w:r>
      <w:r w:rsidR="007C36CF" w:rsidRPr="007C36CF">
        <w:rPr>
          <w:rFonts w:ascii="Arial" w:eastAsia="Times New Roman" w:hAnsi="Arial"/>
          <w:sz w:val="19"/>
          <w:szCs w:val="19"/>
          <w:highlight w:val="yellow"/>
          <w:lang w:val="en-GB" w:eastAsia="en-GB" w:bidi="ar-SA"/>
        </w:rPr>
        <w:t>1.6</w:t>
      </w:r>
      <w:r w:rsidR="007C36CF">
        <w:rPr>
          <w:rFonts w:ascii="Arial" w:eastAsia="Times New Roman" w:hAnsi="Arial"/>
          <w:sz w:val="19"/>
          <w:szCs w:val="19"/>
          <w:lang w:val="en-GB" w:eastAsia="en-GB" w:bidi="ar-SA"/>
        </w:rPr>
        <w:t xml:space="preserve"> cycles.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2C29D8A0" w:rsidR="006C736B" w:rsidRDefault="00366364">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To determine whether the differences in</w:t>
      </w:r>
      <w:r w:rsidR="00226E77">
        <w:rPr>
          <w:rFonts w:ascii="Arial" w:eastAsia="Times New Roman" w:hAnsi="Arial"/>
          <w:sz w:val="19"/>
          <w:szCs w:val="19"/>
          <w:lang w:val="en-GB" w:eastAsia="en-GB" w:bidi="ar-SA"/>
        </w:rPr>
        <w:t xml:space="preserve"> parity and, hence,</w:t>
      </w:r>
      <w:r>
        <w:rPr>
          <w:rFonts w:ascii="Arial" w:eastAsia="Times New Roman" w:hAnsi="Arial"/>
          <w:sz w:val="19"/>
          <w:szCs w:val="19"/>
          <w:lang w:val="en-GB" w:eastAsia="en-GB" w:bidi="ar-SA"/>
        </w:rPr>
        <w:t xml:space="preserve">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w:t>
      </w:r>
      <w:r w:rsidR="006A50A4">
        <w:rPr>
          <w:rFonts w:ascii="Arial" w:eastAsia="Times New Roman" w:hAnsi="Arial"/>
          <w:sz w:val="19"/>
          <w:szCs w:val="19"/>
          <w:lang w:val="en-GB" w:eastAsia="en-GB" w:bidi="ar-SA"/>
        </w:rPr>
        <w:t>in</w:t>
      </w:r>
      <w:r>
        <w:rPr>
          <w:rFonts w:ascii="Arial" w:eastAsia="Times New Roman" w:hAnsi="Arial"/>
          <w:sz w:val="19"/>
          <w:szCs w:val="19"/>
          <w:lang w:val="en-GB" w:eastAsia="en-GB" w:bidi="ar-SA"/>
        </w:rPr>
        <w:t xml:space="preserve">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274D388A" w14:textId="00ED090E" w:rsidR="00F2591C" w:rsidRDefault="00F2591C">
      <w:pPr>
        <w:spacing w:line="276" w:lineRule="auto"/>
        <w:ind w:right="-22"/>
        <w:rPr>
          <w:rFonts w:ascii="Arial" w:eastAsia="Times New Roman" w:hAnsi="Arial"/>
          <w:sz w:val="19"/>
          <w:szCs w:val="19"/>
          <w:lang w:val="en-GB" w:eastAsia="en-GB" w:bidi="ar-SA"/>
        </w:rPr>
      </w:pPr>
    </w:p>
    <w:p w14:paraId="20812126" w14:textId="557CD810" w:rsidR="00C713B3" w:rsidRDefault="002A148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Is there variation between continents? Put in results.</w:t>
      </w:r>
    </w:p>
    <w:p w14:paraId="28C8BBB3" w14:textId="77777777" w:rsidR="00C713B3" w:rsidRDefault="00C713B3">
      <w:pPr>
        <w:spacing w:line="276" w:lineRule="auto"/>
        <w:ind w:right="-22"/>
        <w:rPr>
          <w:rFonts w:ascii="Arial" w:eastAsia="Times New Roman" w:hAnsi="Arial"/>
          <w:sz w:val="19"/>
          <w:szCs w:val="19"/>
          <w:lang w:val="en-GB" w:eastAsia="en-GB" w:bidi="ar-SA"/>
        </w:rPr>
      </w:pPr>
    </w:p>
    <w:p w14:paraId="57EDC250" w14:textId="77777777" w:rsidR="00F2591C" w:rsidRDefault="00F2591C" w:rsidP="00F2591C">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57445326" w14:textId="7037955F" w:rsidR="00F2591C" w:rsidRDefault="00F2591C" w:rsidP="00F2591C">
      <w:pPr>
        <w:spacing w:line="276" w:lineRule="auto"/>
        <w:ind w:right="-22"/>
        <w:rPr>
          <w:rFonts w:ascii="Arial" w:eastAsia="Arial" w:hAnsi="Arial"/>
          <w:sz w:val="19"/>
          <w:szCs w:val="19"/>
        </w:rPr>
      </w:pPr>
      <w:r>
        <w:rPr>
          <w:rFonts w:ascii="Arial" w:eastAsia="Arial" w:hAnsi="Arial"/>
          <w:sz w:val="19"/>
          <w:szCs w:val="19"/>
        </w:rPr>
        <w:t>To convert reproductive longevity into chronological lifespan for each of the dissection methods, it is necessary to know the duration of the gonotrophic cycle (the reproductive cycle that female mosquitoes repeatedly undergo throughout their lives). Lacking consensus from the literature, we conducted a literature survey (see SOM), which was supplemented with gonotrophic cycle estimates from Massey et al. (2016), which was published during preparation of this manuscript. This resulted in 120 estimates of gonotrophic cycle duration obtained from a variety of methods: the two main approaches were laboratory observation of wild-caught specimens and their progeny (n=45)</w:t>
      </w:r>
      <w:r w:rsidR="00882433">
        <w:rPr>
          <w:rFonts w:ascii="Arial" w:eastAsia="Arial" w:hAnsi="Arial"/>
          <w:sz w:val="19"/>
          <w:szCs w:val="19"/>
        </w:rPr>
        <w:t>,</w:t>
      </w:r>
      <w:r>
        <w:rPr>
          <w:rFonts w:ascii="Arial" w:eastAsia="Arial" w:hAnsi="Arial"/>
          <w:sz w:val="19"/>
          <w:szCs w:val="19"/>
        </w:rPr>
        <w:t xml:space="preserve"> and MRR-based approaches (n=36). We recorded whether the duration reported was either for the 1</w:t>
      </w:r>
      <w:r w:rsidRPr="00D20DEF">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7336BBB5" w14:textId="77777777" w:rsidR="00F2591C" w:rsidRDefault="00F2591C" w:rsidP="00F2591C">
      <w:pPr>
        <w:spacing w:line="276" w:lineRule="auto"/>
        <w:ind w:right="-22"/>
        <w:rPr>
          <w:rFonts w:ascii="Arial" w:eastAsia="Arial" w:hAnsi="Arial"/>
          <w:sz w:val="19"/>
          <w:szCs w:val="19"/>
        </w:rPr>
      </w:pPr>
    </w:p>
    <w:p w14:paraId="4A7F08C8" w14:textId="1D3F1525" w:rsidR="006C736B" w:rsidRPr="00AB048E" w:rsidRDefault="00F2591C">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sidRPr="005726F3">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w:t>
      </w:r>
      <w:r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=23.9</m:t>
        </m:r>
      </m:oMath>
      <w:r w:rsidRPr="00671A9F">
        <w:rPr>
          <w:rFonts w:ascii="Arial" w:eastAsia="Arial" w:hAnsi="Arial"/>
          <w:sz w:val="19"/>
          <w:szCs w:val="19"/>
          <w:highlight w:val="yellow"/>
        </w:rPr>
        <w:t xml:space="preserve">, </w:t>
      </w:r>
      <w:r w:rsidRPr="00671A9F">
        <w:rPr>
          <w:rFonts w:ascii="Arial" w:eastAsia="Arial" w:hAnsi="Arial"/>
          <w:i/>
          <w:sz w:val="19"/>
          <w:szCs w:val="19"/>
          <w:highlight w:val="yellow"/>
        </w:rPr>
        <w:t>p</w:t>
      </w:r>
      <w:r w:rsidRPr="00671A9F">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327B94">
        <w:rPr>
          <w:rFonts w:ascii="Arial" w:eastAsia="Arial" w:hAnsi="Arial"/>
          <w:sz w:val="19"/>
          <w:szCs w:val="19"/>
          <w:highlight w:val="yellow"/>
        </w:rPr>
        <w:t>3.7</w:t>
      </w:r>
      <w:r>
        <w:rPr>
          <w:rFonts w:ascii="Arial" w:eastAsia="Arial" w:hAnsi="Arial"/>
          <w:sz w:val="19"/>
          <w:szCs w:val="19"/>
        </w:rPr>
        <w:t xml:space="preserve"> days), followed by </w:t>
      </w:r>
      <w:r>
        <w:rPr>
          <w:rFonts w:ascii="Arial" w:eastAsia="Arial" w:hAnsi="Arial"/>
          <w:i/>
          <w:iCs/>
          <w:sz w:val="19"/>
          <w:szCs w:val="19"/>
        </w:rPr>
        <w:t>Aedes</w:t>
      </w:r>
      <w:r>
        <w:rPr>
          <w:rFonts w:ascii="Arial" w:eastAsia="Arial" w:hAnsi="Arial"/>
          <w:sz w:val="19"/>
          <w:szCs w:val="19"/>
        </w:rPr>
        <w:t xml:space="preserve"> (</w:t>
      </w:r>
      <w:r w:rsidRPr="00327B94">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sidRPr="00327B94">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(see Fig X). Pooling data across all genera, the 1</w:t>
      </w:r>
      <w:r w:rsidRPr="00DC1E42">
        <w:rPr>
          <w:rFonts w:ascii="Arial" w:eastAsia="Arial" w:hAnsi="Arial"/>
          <w:sz w:val="19"/>
          <w:szCs w:val="19"/>
          <w:vertAlign w:val="superscript"/>
        </w:rPr>
        <w:t>st</w:t>
      </w:r>
      <w:r>
        <w:rPr>
          <w:rFonts w:ascii="Arial" w:eastAsia="Arial" w:hAnsi="Arial"/>
          <w:sz w:val="19"/>
          <w:szCs w:val="19"/>
        </w:rPr>
        <w:t xml:space="preserve"> cycle duration was estimated to be </w:t>
      </w:r>
      <w:r w:rsidRPr="00523033">
        <w:rPr>
          <w:rFonts w:ascii="Arial" w:eastAsia="Arial" w:hAnsi="Arial"/>
          <w:sz w:val="19"/>
          <w:szCs w:val="19"/>
          <w:highlight w:val="yellow"/>
        </w:rPr>
        <w:t>4.0</w:t>
      </w:r>
      <w:r>
        <w:rPr>
          <w:rFonts w:ascii="Arial" w:eastAsia="Arial" w:hAnsi="Arial"/>
          <w:sz w:val="19"/>
          <w:szCs w:val="19"/>
        </w:rPr>
        <w:t xml:space="preserve"> days long and subsequent cycles, </w:t>
      </w:r>
      <w:r w:rsidRPr="00523033">
        <w:rPr>
          <w:rFonts w:ascii="Arial" w:eastAsia="Arial" w:hAnsi="Arial"/>
          <w:sz w:val="19"/>
          <w:szCs w:val="19"/>
          <w:highlight w:val="yellow"/>
        </w:rPr>
        <w:t>3.6</w:t>
      </w:r>
      <w:r>
        <w:rPr>
          <w:rFonts w:ascii="Arial" w:eastAsia="Arial" w:hAnsi="Arial"/>
          <w:sz w:val="19"/>
          <w:szCs w:val="19"/>
        </w:rPr>
        <w:t xml:space="preserve"> days in duration.</w:t>
      </w: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366364">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09E62C1D" w:rsidR="006C736B" w:rsidRDefault="00983128">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w:t>
      </w:r>
      <w:r w:rsidR="009D1C22">
        <w:rPr>
          <w:rFonts w:ascii="Arial" w:eastAsia="Arial" w:hAnsi="Arial"/>
          <w:sz w:val="19"/>
          <w:szCs w:val="19"/>
        </w:rPr>
        <w:t xml:space="preserve">To do so, we </w:t>
      </w:r>
      <w:r w:rsidR="005C72BF">
        <w:rPr>
          <w:rFonts w:ascii="Arial" w:eastAsia="Arial" w:hAnsi="Arial"/>
          <w:sz w:val="19"/>
          <w:szCs w:val="19"/>
        </w:rPr>
        <w:t>used our estimates of gonotrophic cycle durations</w:t>
      </w:r>
      <w:r w:rsidR="00E21CFA">
        <w:rPr>
          <w:rFonts w:ascii="Arial" w:eastAsia="Arial" w:hAnsi="Arial"/>
          <w:sz w:val="19"/>
          <w:szCs w:val="19"/>
        </w:rPr>
        <w:t xml:space="preserve"> to convert the dissection-based estimates of </w:t>
      </w:r>
      <w:r w:rsidR="00141CFD">
        <w:rPr>
          <w:rFonts w:ascii="Arial" w:eastAsia="Arial" w:hAnsi="Arial"/>
          <w:sz w:val="19"/>
          <w:szCs w:val="19"/>
        </w:rPr>
        <w:t>reproductive</w:t>
      </w:r>
      <w:r w:rsidR="00E21CFA">
        <w:rPr>
          <w:rFonts w:ascii="Arial" w:eastAsia="Arial" w:hAnsi="Arial"/>
          <w:sz w:val="19"/>
          <w:szCs w:val="19"/>
        </w:rPr>
        <w:t xml:space="preserve"> lifespan (Polovodova) or reproductive age (Detinova)</w:t>
      </w:r>
      <w:r w:rsidR="00FF511F">
        <w:rPr>
          <w:rFonts w:ascii="Arial" w:eastAsia="Arial" w:hAnsi="Arial"/>
          <w:sz w:val="19"/>
          <w:szCs w:val="19"/>
        </w:rPr>
        <w:t xml:space="preserve"> into </w:t>
      </w:r>
      <w:r w:rsidR="009E5BED">
        <w:rPr>
          <w:rFonts w:ascii="Arial" w:eastAsia="Arial" w:hAnsi="Arial"/>
          <w:sz w:val="19"/>
          <w:szCs w:val="19"/>
        </w:rPr>
        <w:t>chronological lifespan</w:t>
      </w:r>
      <w:r w:rsidR="007E7102">
        <w:rPr>
          <w:rFonts w:ascii="Arial" w:eastAsia="Arial" w:hAnsi="Arial"/>
          <w:sz w:val="19"/>
          <w:szCs w:val="19"/>
        </w:rPr>
        <w:t xml:space="preserve"> as described in SOM.</w:t>
      </w:r>
      <w:r w:rsidR="00F0182A">
        <w:rPr>
          <w:rFonts w:ascii="Arial" w:eastAsia="Arial" w:hAnsi="Arial"/>
          <w:sz w:val="19"/>
          <w:szCs w:val="19"/>
        </w:rPr>
        <w:t xml:space="preserve"> </w:t>
      </w:r>
      <w:r w:rsidR="00366364">
        <w:rPr>
          <w:rFonts w:ascii="Arial" w:eastAsia="Arial" w:hAnsi="Arial"/>
          <w:sz w:val="19"/>
          <w:szCs w:val="19"/>
        </w:rPr>
        <w:t>Table S3</w:t>
      </w:r>
      <w:r w:rsidR="00945730">
        <w:rPr>
          <w:rFonts w:ascii="Arial" w:eastAsia="Arial" w:hAnsi="Arial"/>
          <w:sz w:val="19"/>
          <w:szCs w:val="19"/>
        </w:rPr>
        <w:t xml:space="preserve"> and Table S</w:t>
      </w:r>
      <w:r w:rsidR="00366364">
        <w:rPr>
          <w:rFonts w:ascii="Arial" w:eastAsia="Arial" w:hAnsi="Arial"/>
          <w:sz w:val="19"/>
          <w:szCs w:val="19"/>
        </w:rPr>
        <w:t xml:space="preserve"> provides post</w:t>
      </w:r>
      <w:r w:rsidR="00366364">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sidR="00366364">
        <w:rPr>
          <w:rFonts w:ascii="Arial" w:eastAsia="Arial" w:hAnsi="Arial"/>
          <w:sz w:val="19"/>
          <w:szCs w:val="19"/>
        </w:rPr>
        <w:t xml:space="preserve">nt; Pearson correlation </w:t>
      </w:r>
      <w:r w:rsidR="00366364">
        <w:rPr>
          <w:rFonts w:ascii="Arial" w:eastAsia="Arial" w:hAnsi="Arial"/>
          <w:i/>
          <w:sz w:val="19"/>
          <w:szCs w:val="19"/>
        </w:rPr>
        <w:t>ρ</w:t>
      </w:r>
      <w:r w:rsidR="00366364">
        <w:rPr>
          <w:rFonts w:ascii="Arial" w:eastAsia="Arial" w:hAnsi="Arial"/>
          <w:sz w:val="19"/>
          <w:szCs w:val="19"/>
        </w:rPr>
        <w:t xml:space="preserve"> = 0</w:t>
      </w:r>
      <w:r w:rsidR="00366364">
        <w:rPr>
          <w:rFonts w:ascii="Arial" w:eastAsia="Arial" w:hAnsi="Arial"/>
          <w:i/>
          <w:sz w:val="19"/>
          <w:szCs w:val="19"/>
        </w:rPr>
        <w:t>.</w:t>
      </w:r>
      <w:r w:rsidR="00366364">
        <w:rPr>
          <w:rFonts w:ascii="Arial" w:eastAsia="Arial" w:hAnsi="Arial"/>
          <w:sz w:val="19"/>
          <w:szCs w:val="19"/>
        </w:rPr>
        <w:t xml:space="preserve">34, </w:t>
      </w:r>
      <w:r w:rsidR="00366364">
        <w:rPr>
          <w:rFonts w:ascii="Arial" w:eastAsia="Arial" w:hAnsi="Arial"/>
          <w:i/>
          <w:sz w:val="19"/>
          <w:szCs w:val="19"/>
        </w:rPr>
        <w:t>n</w:t>
      </w:r>
      <w:r w:rsidR="00366364">
        <w:rPr>
          <w:rFonts w:ascii="Arial" w:eastAsia="Arial" w:hAnsi="Arial"/>
          <w:sz w:val="19"/>
          <w:szCs w:val="19"/>
        </w:rPr>
        <w:t xml:space="preserve"> = 12, </w:t>
      </w:r>
      <w:r w:rsidR="00366364">
        <w:rPr>
          <w:rFonts w:ascii="Arial" w:eastAsia="Arial" w:hAnsi="Arial"/>
          <w:i/>
          <w:sz w:val="19"/>
          <w:szCs w:val="19"/>
        </w:rPr>
        <w:t>p</w:t>
      </w:r>
      <w:r w:rsidR="00366364">
        <w:rPr>
          <w:rFonts w:ascii="Arial" w:eastAsia="Arial" w:hAnsi="Arial"/>
          <w:sz w:val="19"/>
          <w:szCs w:val="19"/>
        </w:rPr>
        <w:t xml:space="preserve"> = 0</w:t>
      </w:r>
      <w:r w:rsidR="00366364">
        <w:rPr>
          <w:rFonts w:ascii="Arial" w:eastAsia="Arial" w:hAnsi="Arial"/>
          <w:i/>
          <w:sz w:val="19"/>
          <w:szCs w:val="19"/>
        </w:rPr>
        <w:t>.</w:t>
      </w:r>
      <w:r w:rsidR="00366364">
        <w:rPr>
          <w:rFonts w:ascii="Arial" w:eastAsia="Arial" w:hAnsi="Arial"/>
          <w:sz w:val="19"/>
          <w:szCs w:val="19"/>
        </w:rPr>
        <w:t xml:space="preserve">27) between the two measures (Fig. 5), and in only one case – for </w:t>
      </w:r>
      <w:r w:rsidR="00366364">
        <w:rPr>
          <w:rFonts w:ascii="Arial" w:eastAsia="Arial" w:hAnsi="Arial"/>
          <w:i/>
          <w:sz w:val="19"/>
          <w:szCs w:val="19"/>
        </w:rPr>
        <w:t>An. darlingi</w:t>
      </w:r>
      <w:r w:rsidR="00366364">
        <w:rPr>
          <w:rFonts w:ascii="Arial" w:eastAsia="Arial" w:hAnsi="Arial"/>
          <w:sz w:val="19"/>
          <w:szCs w:val="19"/>
        </w:rPr>
        <w:t xml:space="preserve"> - there was a significant diﬀerence in the time-series level lifespans (Table S4).</w:t>
      </w:r>
    </w:p>
    <w:p w14:paraId="7DFD2725" w14:textId="73D3C2DB" w:rsidR="001B7BB8" w:rsidRDefault="001B7BB8">
      <w:pPr>
        <w:spacing w:line="276" w:lineRule="auto"/>
        <w:ind w:right="-22"/>
        <w:rPr>
          <w:rFonts w:ascii="Arial" w:eastAsia="Arial" w:hAnsi="Arial"/>
          <w:sz w:val="19"/>
          <w:szCs w:val="19"/>
        </w:rPr>
      </w:pPr>
    </w:p>
    <w:p w14:paraId="2B10F9D9" w14:textId="765BD0FB" w:rsidR="001B7BB8" w:rsidRPr="00D11B91" w:rsidRDefault="00B70268" w:rsidP="001B7BB8">
      <w:pPr>
        <w:spacing w:line="276" w:lineRule="auto"/>
        <w:ind w:right="-22"/>
      </w:pPr>
      <w:r>
        <w:rPr>
          <w:rFonts w:ascii="Arial" w:eastAsia="Times New Roman" w:hAnsi="Arial"/>
          <w:b/>
          <w:bCs/>
          <w:sz w:val="19"/>
          <w:szCs w:val="19"/>
        </w:rPr>
        <w:t xml:space="preserve">The influence of weather on </w:t>
      </w:r>
      <w:r w:rsidR="007659CA">
        <w:rPr>
          <w:rFonts w:ascii="Arial" w:eastAsia="Times New Roman" w:hAnsi="Arial"/>
          <w:b/>
          <w:bCs/>
          <w:sz w:val="19"/>
          <w:szCs w:val="19"/>
        </w:rPr>
        <w:t>lifespan estimates</w:t>
      </w:r>
    </w:p>
    <w:p w14:paraId="454DD073" w14:textId="64EAAF4B" w:rsidR="001B7BB8" w:rsidRDefault="001B7BB8" w:rsidP="001B7BB8">
      <w:pPr>
        <w:spacing w:line="276" w:lineRule="auto"/>
        <w:ind w:right="-22"/>
        <w:rPr>
          <w:rFonts w:ascii="Arial" w:eastAsia="Times New Roman" w:hAnsi="Arial"/>
          <w:sz w:val="19"/>
          <w:szCs w:val="19"/>
        </w:rPr>
      </w:pPr>
      <w:r>
        <w:rPr>
          <w:rFonts w:ascii="Arial" w:eastAsia="Times New Roman" w:hAnsi="Arial"/>
          <w:sz w:val="19"/>
          <w:szCs w:val="19"/>
        </w:rPr>
        <w:t>Need to be careful about interpretation here since there is seasonal variation in population size, leading to changes in sampled lifespan. Can I control for season/geography in regressions?</w:t>
      </w:r>
    </w:p>
    <w:p w14:paraId="1A53BE78" w14:textId="19BEBC7D" w:rsidR="0054789D" w:rsidRDefault="0054789D" w:rsidP="001B7BB8">
      <w:pPr>
        <w:spacing w:line="276" w:lineRule="auto"/>
        <w:ind w:right="-22"/>
        <w:rPr>
          <w:rFonts w:ascii="Arial" w:eastAsia="Times New Roman" w:hAnsi="Arial"/>
          <w:sz w:val="19"/>
          <w:szCs w:val="19"/>
        </w:rPr>
      </w:pPr>
    </w:p>
    <w:p w14:paraId="3DE32A4A" w14:textId="77777777" w:rsidR="0054789D" w:rsidRDefault="0054789D" w:rsidP="0054789D">
      <w:pPr>
        <w:spacing w:line="276" w:lineRule="auto"/>
        <w:ind w:right="-22"/>
        <w:rPr>
          <w:rFonts w:ascii="Arial" w:eastAsia="Arial" w:hAnsi="Arial"/>
          <w:sz w:val="19"/>
          <w:szCs w:val="19"/>
        </w:rPr>
      </w:pPr>
      <w:r>
        <w:rPr>
          <w:rFonts w:ascii="Arial" w:eastAsia="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p>
    <w:p w14:paraId="2140B2C1" w14:textId="77777777" w:rsidR="001F4D3B" w:rsidRDefault="001F4D3B" w:rsidP="0054789D">
      <w:pPr>
        <w:spacing w:line="276" w:lineRule="auto"/>
        <w:ind w:right="-22"/>
        <w:rPr>
          <w:rFonts w:ascii="Arial" w:eastAsia="Arial" w:hAnsi="Arial"/>
          <w:sz w:val="19"/>
          <w:szCs w:val="19"/>
        </w:rPr>
      </w:pPr>
    </w:p>
    <w:p w14:paraId="4A166862" w14:textId="77777777" w:rsidR="001F4D3B" w:rsidRDefault="001F4D3B" w:rsidP="001F4D3B">
      <w:pPr>
        <w:spacing w:line="276" w:lineRule="auto"/>
        <w:ind w:right="-22"/>
      </w:pPr>
      <w:r>
        <w:rPr>
          <w:rFonts w:ascii="Arial" w:eastAsia="Times New Roman" w:hAnsi="Arial"/>
          <w:i/>
          <w:iCs/>
          <w:sz w:val="19"/>
          <w:szCs w:val="19"/>
          <w:lang w:val="en-GB" w:eastAsia="en-GB" w:bidi="ar-SA"/>
        </w:rPr>
        <w:t xml:space="preserve">An. gambiae </w:t>
      </w:r>
      <w:r w:rsidRPr="00F665F7">
        <w:rPr>
          <w:rFonts w:ascii="Arial" w:eastAsia="Times New Roman" w:hAnsi="Arial"/>
          <w:i/>
          <w:iCs/>
          <w:sz w:val="19"/>
          <w:szCs w:val="19"/>
          <w:lang w:val="en-GB" w:eastAsia="en-GB" w:bidi="ar-SA"/>
        </w:rPr>
        <w:t>s.l.</w:t>
      </w:r>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in greater detail. First, we estimated NEED TO RERUN COUNTRY-LEVEL ESTIMATES AND K-FOLD.</w:t>
      </w:r>
    </w:p>
    <w:p w14:paraId="6FE7F52E" w14:textId="4EDA216A" w:rsidR="001F4D3B" w:rsidRDefault="001F4D3B" w:rsidP="0054789D">
      <w:pPr>
        <w:spacing w:line="276" w:lineRule="auto"/>
        <w:ind w:right="-22"/>
        <w:sectPr w:rsidR="001F4D3B">
          <w:type w:val="continuous"/>
          <w:pgSz w:w="12240" w:h="15840"/>
          <w:pgMar w:top="1440" w:right="1750" w:bottom="1440" w:left="1440" w:header="0" w:footer="0" w:gutter="0"/>
          <w:cols w:space="720"/>
          <w:formProt w:val="0"/>
          <w:docGrid w:linePitch="249" w:charSpace="2047"/>
        </w:sectPr>
      </w:pPr>
    </w:p>
    <w:p w14:paraId="4551D868" w14:textId="77777777" w:rsidR="0054789D" w:rsidRDefault="0054789D" w:rsidP="001B7BB8">
      <w:pPr>
        <w:spacing w:line="276" w:lineRule="auto"/>
        <w:ind w:right="-22"/>
        <w:rPr>
          <w:rFonts w:ascii="Arial" w:eastAsia="Times New Roman" w:hAnsi="Arial"/>
          <w:sz w:val="19"/>
          <w:szCs w:val="19"/>
        </w:rPr>
      </w:pPr>
    </w:p>
    <w:p w14:paraId="5F59D512" w14:textId="144FEA89" w:rsidR="00353720" w:rsidRDefault="00353720" w:rsidP="001B7BB8">
      <w:pPr>
        <w:spacing w:line="276" w:lineRule="auto"/>
        <w:ind w:right="-22"/>
        <w:rPr>
          <w:rFonts w:ascii="Arial" w:eastAsia="Times New Roman" w:hAnsi="Arial"/>
          <w:sz w:val="19"/>
          <w:szCs w:val="19"/>
        </w:rPr>
      </w:pPr>
    </w:p>
    <w:p w14:paraId="70344B7C" w14:textId="77777777" w:rsidR="00353720" w:rsidRDefault="00353720" w:rsidP="00353720">
      <w:pPr>
        <w:spacing w:line="276" w:lineRule="auto"/>
        <w:ind w:right="-22"/>
      </w:pPr>
      <w:r>
        <w:rPr>
          <w:rFonts w:ascii="Arial" w:eastAsia="Arial" w:hAnsi="Arial"/>
          <w:b/>
          <w:sz w:val="19"/>
          <w:szCs w:val="19"/>
        </w:rPr>
        <w:t>Estimates of the fraction mosquitoes capable of transmitting disease</w:t>
      </w:r>
    </w:p>
    <w:p w14:paraId="2140BB3A" w14:textId="77777777" w:rsidR="00353720" w:rsidRDefault="00353720" w:rsidP="00353720">
      <w:pPr>
        <w:spacing w:line="276" w:lineRule="auto"/>
        <w:ind w:right="-22"/>
        <w:rPr>
          <w:rFonts w:ascii="Arial" w:eastAsia="Times New Roman" w:hAnsi="Arial"/>
          <w:b/>
          <w:sz w:val="19"/>
          <w:szCs w:val="19"/>
        </w:rPr>
      </w:pPr>
    </w:p>
    <w:p w14:paraId="4B5B5831" w14:textId="77777777" w:rsidR="00353720" w:rsidRDefault="00353720" w:rsidP="00353720">
      <w:pPr>
        <w:spacing w:line="276" w:lineRule="auto"/>
        <w:ind w:right="-22"/>
      </w:pPr>
      <w:r>
        <w:rPr>
          <w:rFonts w:ascii="Arial" w:eastAsia="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3" w:name="page8"/>
      <w:bookmarkEnd w:id="133"/>
      <w:r>
        <w:rPr>
          <w:rFonts w:ascii="Arial" w:eastAsia="Arial" w:hAnsi="Arial"/>
          <w:sz w:val="19"/>
          <w:szCs w:val="19"/>
        </w:rPr>
        <w:t xml:space="preserve"> species (see SOM for references used to identify species as vectors) and their most significant diseases.</w:t>
      </w:r>
    </w:p>
    <w:p w14:paraId="0A532B84" w14:textId="77777777" w:rsidR="00353720" w:rsidRDefault="00353720" w:rsidP="00353720">
      <w:pPr>
        <w:spacing w:line="276" w:lineRule="auto"/>
        <w:ind w:right="-22"/>
        <w:rPr>
          <w:rFonts w:ascii="Arial" w:eastAsia="Times New Roman" w:hAnsi="Arial"/>
          <w:sz w:val="19"/>
          <w:szCs w:val="19"/>
        </w:rPr>
      </w:pPr>
    </w:p>
    <w:p w14:paraId="33B92705" w14:textId="77777777" w:rsidR="00353720" w:rsidRDefault="00353720" w:rsidP="00353720">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611AA9E8" w14:textId="77777777" w:rsidR="00353720" w:rsidRDefault="00353720" w:rsidP="00353720">
      <w:pPr>
        <w:spacing w:line="276" w:lineRule="auto"/>
        <w:ind w:right="-22"/>
        <w:rPr>
          <w:rFonts w:ascii="Arial" w:eastAsia="Times New Roman" w:hAnsi="Arial"/>
          <w:sz w:val="19"/>
          <w:szCs w:val="19"/>
        </w:rPr>
      </w:pPr>
    </w:p>
    <w:p w14:paraId="58E54FD4" w14:textId="72BA9C83" w:rsidR="00353720" w:rsidRDefault="00353720" w:rsidP="001B7BB8">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1DE734AF" w14:textId="77777777" w:rsidR="001B7BB8" w:rsidRDefault="001B7BB8">
      <w:pPr>
        <w:spacing w:line="276" w:lineRule="auto"/>
        <w:ind w:right="-22"/>
      </w:pP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366364">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366364">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4" w:author="Ace North" w:date="2018-12-06T10:22:00Z"/>
          <w:rFonts w:ascii="Arial" w:eastAsia="Arial" w:hAnsi="Arial"/>
          <w:sz w:val="19"/>
          <w:szCs w:val="19"/>
        </w:rPr>
      </w:pPr>
    </w:p>
    <w:p w14:paraId="0C5CD80D" w14:textId="77777777" w:rsidR="006C736B" w:rsidRDefault="00366364">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5"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366364">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366364">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Gompertz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366364">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nd mixed evidence for it: in the MRR experiments, data were better fit by models allowing senescence in 8 of 33 species; in the analysis of Polovodova-type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366364">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366364">
      <w:pPr>
        <w:spacing w:line="276" w:lineRule="auto"/>
        <w:ind w:right="-22"/>
      </w:pPr>
      <w:r>
        <w:rPr>
          <w:rFonts w:ascii="Arial" w:eastAsia="Arial" w:hAnsi="Arial"/>
          <w:sz w:val="19"/>
          <w:szCs w:val="19"/>
        </w:rPr>
        <w:t xml:space="preserve"> (Verhulst, Loonen, and Takken,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366364">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t>nulliparous, uniparous, biparous and so on) compared to Detinova’s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B</w:t>
      </w:r>
      <w:r>
        <w:rPr>
          <w:rFonts w:ascii="Arial" w:eastAsia="Arial" w:hAnsi="Arial"/>
          <w:sz w:val="19"/>
          <w:szCs w:val="19"/>
        </w:rPr>
        <w:t xml:space="preserve">rust, </w:t>
      </w:r>
      <w:r>
        <w:rPr>
          <w:rStyle w:val="InternetLink"/>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w:t>
      </w:r>
      <w:r>
        <w:rPr>
          <w:rFonts w:ascii="Arial" w:eastAsia="Arial" w:hAnsi="Arial"/>
          <w:sz w:val="19"/>
          <w:szCs w:val="19"/>
        </w:rPr>
        <w:lastRenderedPageBreak/>
        <w:t>lifespan downwards. Detinova’s method is simpler, so dissections can be carried out reliably and routinely by most field ent</w:t>
      </w:r>
      <w:r>
        <w:rPr>
          <w:rFonts w:ascii="Arial" w:eastAsia="Arial" w:hAnsi="Arial"/>
          <w:sz w:val="19"/>
          <w:szCs w:val="19"/>
        </w:rPr>
        <w:t>omologists, which partly explains its popularity. It is possible that Detinova’s parity estimate may be biased upwards due to the methods used to trap mosquitoes – typically, these aim to catch mosquitoes when they attempt to blood-feed – but, to our knowl</w:t>
      </w:r>
      <w:r>
        <w:rPr>
          <w:rFonts w:ascii="Arial" w:eastAsia="Arial" w:hAnsi="Arial"/>
          <w:sz w:val="19"/>
          <w:szCs w:val="19"/>
        </w:rPr>
        <w:t>edge, there are fewer concerns than with Polovodova’s method. This may explain why the estimates of lifespan derived from Detinova’s method typically exceed those from Polovodova’s.</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366364">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(i)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r>
        <w:rPr>
          <w:rFonts w:ascii="Arial" w:eastAsia="Arial" w:hAnsi="Arial"/>
          <w:sz w:val="19"/>
          <w:szCs w:val="19"/>
        </w:rPr>
        <w:t>culecine mosquitoes estimated to have longer cycles than aedines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n equilibrium could result in an over- or under-abundance of young mosquitoes being sampled. To mitigate against this risk, we pooled data across time at each collection location (sometimes with multiple collection locations per study site) but recognise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366364">
      <w:pPr>
        <w:spacing w:line="276" w:lineRule="auto"/>
        <w:ind w:right="-22"/>
      </w:pPr>
      <w:r>
        <w:rPr>
          <w:rFonts w:ascii="Arial" w:eastAsia="Arial" w:hAnsi="Arial"/>
          <w:sz w:val="19"/>
          <w:szCs w:val="19"/>
        </w:rPr>
        <w:t>Since our data span from well befor</w:t>
      </w:r>
      <w:r>
        <w:rPr>
          <w:rFonts w:ascii="Arial" w:eastAsia="Arial" w:hAnsi="Arial"/>
          <w:sz w:val="19"/>
          <w:szCs w:val="19"/>
        </w:rPr>
        <w:t>e the advent of widespread insecticidal bednets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idal bednets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rity of our data were collected from before the year 2000 (X% for MRR, Y% for Polovodova-dissection and Z% for Detinova-dissection),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366364">
      <w:pPr>
        <w:spacing w:line="276" w:lineRule="auto"/>
        <w:ind w:right="-22"/>
      </w:pPr>
      <w:r>
        <w:rPr>
          <w:rFonts w:ascii="Arial" w:eastAsia="Arial" w:hAnsi="Arial"/>
          <w:sz w:val="19"/>
          <w:szCs w:val="19"/>
        </w:rPr>
        <w:t>In benign labo</w:t>
      </w:r>
      <w:r>
        <w:rPr>
          <w:rFonts w:ascii="Arial" w:eastAsia="Arial" w:hAnsi="Arial"/>
          <w:sz w:val="19"/>
          <w:szCs w:val="19"/>
        </w:rPr>
        <w:t>ratory conditions, mosquitoes are expected to live longer than in wild populations, and  laboratory lifespans can thus be considered upper bounds on lifespanIt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w:t>
      </w:r>
      <w:r>
        <w:rPr>
          <w:rFonts w:ascii="Arial" w:eastAsia="Arial" w:hAnsi="Arial"/>
          <w:sz w:val="19"/>
          <w:szCs w:val="19"/>
        </w:rPr>
        <w:lastRenderedPageBreak/>
        <w:t>lifespan in the field, it is diﬃcult to quantify t</w:t>
      </w:r>
      <w:r>
        <w:rPr>
          <w:rFonts w:ascii="Arial" w:eastAsia="Arial" w:hAnsi="Arial"/>
          <w:sz w:val="19"/>
          <w:szCs w:val="19"/>
        </w:rPr>
        <w:t xml:space="preserve">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366364">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locations and times of year when the MRR studies were conducted encompassed a large range of average air temperatures, from approximately 10 oC to 35 oC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complex interactions between temperature and lifespan. The observed laboratory relationship between lifespan and temperature, however, may not be as robust in the field if mosquitoes adjust their behaviour in reaction to changes in temperature (for example</w:t>
      </w:r>
      <w:r>
        <w:rPr>
          <w:rFonts w:ascii="Arial" w:eastAsia="Arial" w:hAnsi="Arial"/>
          <w:sz w:val="19"/>
          <w:szCs w:val="19"/>
        </w:rPr>
        <w:t xml:space="preserve"> by seeking shade). As with laboratory studies (Styer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366364">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FFEE1C3" w14:textId="60A0B4B9" w:rsidR="006C736B" w:rsidRDefault="00366364"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senescence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 xml:space="preserve">n for experiments included in our analysis was 10 days (Table SM2) this could </w:t>
      </w:r>
      <w:r>
        <w:rPr>
          <w:rFonts w:ascii="Arial" w:eastAsia="Arial" w:hAnsi="Arial"/>
          <w:sz w:val="19"/>
          <w:szCs w:val="19"/>
        </w:rPr>
        <w:lastRenderedPageBreak/>
        <w:t>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366364">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628F8CFB" w14:textId="00362945" w:rsidR="006C736B" w:rsidRPr="00BD11B5" w:rsidRDefault="00366364">
      <w:pPr>
        <w:spacing w:line="276" w:lineRule="auto"/>
        <w:ind w:right="-22"/>
        <w:rPr>
          <w:rFonts w:ascii="Arial" w:eastAsia="Arial" w:hAnsi="Arial"/>
          <w:b/>
          <w:sz w:val="19"/>
          <w:szCs w:val="19"/>
        </w:rPr>
      </w:pPr>
      <w:r>
        <w:rPr>
          <w:rFonts w:ascii="Arial" w:eastAsia="Arial" w:hAnsi="Arial"/>
          <w:b/>
          <w:sz w:val="19"/>
          <w:szCs w:val="19"/>
        </w:rPr>
        <w:t>Methods</w:t>
      </w:r>
    </w:p>
    <w:p w14:paraId="3820751E" w14:textId="06E45CB8" w:rsidR="006C736B" w:rsidRPr="008A0D7B" w:rsidRDefault="00366364">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w:t>
      </w:r>
      <w:r w:rsidR="008A0D7B">
        <w:rPr>
          <w:rFonts w:ascii="Arial" w:eastAsia="Arial" w:hAnsi="Arial"/>
          <w:sz w:val="19"/>
          <w:szCs w:val="19"/>
        </w:rPr>
        <w:t xml:space="preserve">In the MRR and Polovodova-dissection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for these we work</w:t>
      </w:r>
      <w:r>
        <w:rPr>
          <w:rFonts w:ascii="Arial" w:eastAsia="Arial" w:hAnsi="Arial"/>
          <w:sz w:val="19"/>
          <w:szCs w:val="19"/>
        </w:rPr>
        <w:t xml:space="preserve"> chiefly with morphospecies.</w:t>
      </w:r>
      <w:r w:rsidR="00043D69">
        <w:rPr>
          <w:rFonts w:ascii="Arial" w:eastAsia="Arial" w:hAnsi="Arial"/>
          <w:sz w:val="19"/>
          <w:szCs w:val="19"/>
        </w:rPr>
        <w:t xml:space="preserve"> In the Detinova-dissection,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for both species and morphospecies.</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366364">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2FBE497E" w14:textId="03F70C14" w:rsidR="006C736B" w:rsidRDefault="00366364">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366364">
      <w:pPr>
        <w:spacing w:line="276" w:lineRule="auto"/>
        <w:ind w:right="-22"/>
        <w:rPr>
          <w:rFonts w:ascii="Arial" w:eastAsia="Arial" w:hAnsi="Arial"/>
          <w:sz w:val="19"/>
          <w:szCs w:val="19"/>
        </w:rPr>
      </w:pPr>
      <w:bookmarkStart w:id="136" w:name="page15"/>
      <w:bookmarkEnd w:id="136"/>
      <w:r>
        <w:rPr>
          <w:rFonts w:ascii="Arial" w:eastAsia="Arial" w:hAnsi="Arial"/>
          <w:sz w:val="19"/>
          <w:szCs w:val="19"/>
        </w:rPr>
        <w:t>We analysed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Nedelman,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366364">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366364">
      <w:pPr>
        <w:spacing w:line="276" w:lineRule="auto"/>
        <w:ind w:right="-22"/>
        <w:rPr>
          <w:rFonts w:ascii="Arial" w:hAnsi="Arial"/>
          <w:sz w:val="28"/>
          <w:szCs w:val="28"/>
        </w:rPr>
      </w:pPr>
      <m:oMathPara>
        <m:oMath>
          <m:r>
            <w:rPr>
              <w:rFonts w:ascii="Cambria Math" w:hAnsi="Cambria Math"/>
            </w:rPr>
            <w:lastRenderedPageBreak/>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366364">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366364">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366364">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366364">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366364">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r>
        <w:rPr>
          <w:rFonts w:ascii="Arial" w:eastAsia="Arial" w:hAnsi="Arial"/>
          <w:b/>
          <w:sz w:val="19"/>
          <w:szCs w:val="19"/>
        </w:rPr>
        <w:t>Polovodova’s method</w:t>
      </w:r>
    </w:p>
    <w:p w14:paraId="25924EE0" w14:textId="5774561F" w:rsidR="006C736B" w:rsidRDefault="00366364">
      <w:pPr>
        <w:spacing w:line="276" w:lineRule="auto"/>
        <w:ind w:right="-22"/>
        <w:rPr>
          <w:rFonts w:ascii="Arial" w:eastAsia="Arial" w:hAnsi="Arial"/>
          <w:sz w:val="19"/>
          <w:szCs w:val="19"/>
        </w:rPr>
      </w:pPr>
      <w:r>
        <w:rPr>
          <w:rFonts w:ascii="Arial" w:eastAsia="Arial" w:hAnsi="Arial"/>
          <w:sz w:val="19"/>
          <w:szCs w:val="19"/>
        </w:rPr>
        <w:t xml:space="preserve">Studies using </w:t>
      </w:r>
      <w:r w:rsidR="0027201C">
        <w:rPr>
          <w:rFonts w:ascii="Arial" w:eastAsia="Arial" w:hAnsi="Arial"/>
          <w:sz w:val="19"/>
          <w:szCs w:val="19"/>
        </w:rPr>
        <w:t xml:space="preserve">Polovodova’s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366364">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biparous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366364">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analysed using a Bayesian framework </w:t>
      </w:r>
      <w:r w:rsidR="008021B7">
        <w:rPr>
          <w:rFonts w:ascii="Arial" w:eastAsia="Arial" w:hAnsi="Arial"/>
          <w:sz w:val="19"/>
          <w:szCs w:val="19"/>
        </w:rPr>
        <w:t>similar to that used to analyse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r>
        <w:rPr>
          <w:rFonts w:ascii="Arial" w:eastAsia="Arial" w:hAnsi="Arial"/>
          <w:b/>
          <w:bCs/>
          <w:sz w:val="19"/>
          <w:szCs w:val="19"/>
        </w:rPr>
        <w:t>Detinova’s method</w:t>
      </w:r>
    </w:p>
    <w:p w14:paraId="2470BD0E" w14:textId="710E7B11" w:rsidR="00716906" w:rsidRDefault="00C75BC1">
      <w:pPr>
        <w:spacing w:line="276" w:lineRule="auto"/>
        <w:ind w:right="-22"/>
        <w:rPr>
          <w:rFonts w:ascii="Arial" w:eastAsia="Arial" w:hAnsi="Arial"/>
          <w:sz w:val="19"/>
          <w:szCs w:val="19"/>
        </w:rPr>
      </w:pPr>
      <w:r>
        <w:rPr>
          <w:rFonts w:ascii="Arial" w:eastAsia="Arial" w:hAnsi="Arial"/>
          <w:sz w:val="19"/>
          <w:szCs w:val="19"/>
        </w:rPr>
        <w:t xml:space="preserve">Detinova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Like for the analysis for Polovodova’s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Detinova’s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 xml:space="preserve">allow partial pooling of observations according to a grouping (species, </w:t>
      </w:r>
      <w:r w:rsidR="00152EB2">
        <w:rPr>
          <w:rFonts w:ascii="Arial" w:eastAsia="Arial" w:hAnsi="Arial"/>
          <w:sz w:val="19"/>
          <w:szCs w:val="19"/>
        </w:rPr>
        <w:t xml:space="preserve">morphospecies,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366364"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366364"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 xml:space="preserve">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366364" w:rsidP="004953A2">
      <w:pPr>
        <w:autoSpaceDE w:val="0"/>
        <w:autoSpaceDN w:val="0"/>
        <w:adjustRightInd w:val="0"/>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366364">
      <w:pPr>
        <w:spacing w:line="276" w:lineRule="auto"/>
        <w:ind w:right="-22"/>
        <w:rPr>
          <w:rFonts w:ascii="Arial" w:eastAsia="Arial" w:hAnsi="Arial"/>
          <w:sz w:val="19"/>
          <w:szCs w:val="19"/>
        </w:rPr>
      </w:pPr>
      <w:r>
        <w:rPr>
          <w:rFonts w:ascii="Arial" w:eastAsia="Arial" w:hAnsi="Arial"/>
          <w:sz w:val="19"/>
          <w:szCs w:val="19"/>
        </w:rPr>
        <w:lastRenderedPageBreak/>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366364">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366364">
      <w:pPr>
        <w:numPr>
          <w:ilvl w:val="0"/>
          <w:numId w:val="1"/>
        </w:numPr>
        <w:tabs>
          <w:tab w:val="left" w:pos="1743"/>
        </w:tabs>
        <w:spacing w:line="276" w:lineRule="auto"/>
        <w:ind w:left="851" w:right="1395"/>
      </w:pPr>
      <w:r>
        <w:rPr>
          <w:rFonts w:ascii="Arial" w:eastAsia="Arial" w:hAnsi="Arial"/>
          <w:sz w:val="19"/>
          <w:szCs w:val="19"/>
        </w:rPr>
        <w:t>Y. A. Afrane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366364">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7" w:name="page18"/>
      <w:bookmarkEnd w:id="137"/>
    </w:p>
    <w:p w14:paraId="5B2F03CD" w14:textId="77777777" w:rsidR="006C736B" w:rsidRDefault="00366364">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Beier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366364">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366364">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R. Carter and K. N. Mendis.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366364">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366364">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366364">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T. S. Detinova et al. “Age grouping methods in Diptera of medical impor-tance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25D0003B"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366364">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366364">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366364">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lastRenderedPageBreak/>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366364">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366364">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366364">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366364">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(Diptera: Culicidae). Meditsinskaya Parazitologiya i Parasitarnye Bolezni 50, 48–56</w:t>
      </w:r>
      <w:r>
        <w:rPr>
          <w:rFonts w:ascii="Arial" w:eastAsia="Arial" w:hAnsi="Arial"/>
          <w:sz w:val="19"/>
          <w:szCs w:val="19"/>
        </w:rPr>
        <w:t>. 1981.</w:t>
      </w:r>
    </w:p>
    <w:p w14:paraId="1015F335"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366364">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V. S. Mayagaya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366364">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Schlein. “Decline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366364">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366364">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366364">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366364">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366364">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2A261C7A" w14:textId="77777777" w:rsidR="006C736B" w:rsidRDefault="00366364">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Culex annulirostris skuse</w:t>
      </w:r>
      <w:r>
        <w:rPr>
          <w:rFonts w:ascii="Arial" w:eastAsia="Arial" w:hAnsi="Arial"/>
          <w:sz w:val="19"/>
          <w:szCs w:val="19"/>
        </w:rPr>
        <w:t xml:space="preserve"> near Echua, Victoria, in the </w:t>
      </w:r>
      <w:r>
        <w:rPr>
          <w:rFonts w:ascii="Arial" w:eastAsia="Arial" w:hAnsi="Arial"/>
          <w:sz w:val="19"/>
          <w:szCs w:val="19"/>
        </w:rPr>
        <w:lastRenderedPageBreak/>
        <w:t xml:space="preserve">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366364">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366364">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366364">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366364">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Sinka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366364">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L. M. Styer et al. “Mosquitoes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366364">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Loonen, and W. Takken. “Advances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366364">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366364">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366364">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366364" w:rsidRDefault="00366364"/>
    <w:sectPr w:rsidR="00366364">
      <w:type w:val="continuous"/>
      <w:pgSz w:w="12240" w:h="15840"/>
      <w:pgMar w:top="1440" w:right="1750" w:bottom="1440" w:left="1440" w:header="0" w:footer="0" w:gutter="0"/>
      <w:cols w:space="720"/>
      <w:formProt w:val="0"/>
      <w:docGrid w:linePitch="249"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ambert, Benjamin C" w:date="2020-01-28T16:55:00Z" w:initials="LBC">
    <w:p w14:paraId="623B7560" w14:textId="469D4464" w:rsidR="00C23E98" w:rsidRDefault="00C23E98">
      <w:pPr>
        <w:pStyle w:val="CommentText"/>
      </w:pPr>
      <w:r>
        <w:rPr>
          <w:rStyle w:val="CommentReference"/>
        </w:rPr>
        <w:annotationRef/>
      </w:r>
      <w:r>
        <w:t>Needs updating with latest parity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B75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B7560" w16cid:durableId="21DAE5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07E59"/>
    <w:rsid w:val="0001668E"/>
    <w:rsid w:val="00043D69"/>
    <w:rsid w:val="0006667F"/>
    <w:rsid w:val="000918E9"/>
    <w:rsid w:val="00093618"/>
    <w:rsid w:val="000C3F46"/>
    <w:rsid w:val="000D4EAE"/>
    <w:rsid w:val="000E12CA"/>
    <w:rsid w:val="000E1C1E"/>
    <w:rsid w:val="000F1064"/>
    <w:rsid w:val="001114B4"/>
    <w:rsid w:val="00113131"/>
    <w:rsid w:val="001167D9"/>
    <w:rsid w:val="00122490"/>
    <w:rsid w:val="00141CFD"/>
    <w:rsid w:val="00152EB2"/>
    <w:rsid w:val="00165787"/>
    <w:rsid w:val="00175D10"/>
    <w:rsid w:val="0019186C"/>
    <w:rsid w:val="0019589E"/>
    <w:rsid w:val="001B7BB8"/>
    <w:rsid w:val="001C7EEF"/>
    <w:rsid w:val="001F4D3B"/>
    <w:rsid w:val="002200C0"/>
    <w:rsid w:val="00226087"/>
    <w:rsid w:val="00226E77"/>
    <w:rsid w:val="00236603"/>
    <w:rsid w:val="00242B83"/>
    <w:rsid w:val="00257751"/>
    <w:rsid w:val="00270682"/>
    <w:rsid w:val="0027201C"/>
    <w:rsid w:val="00281138"/>
    <w:rsid w:val="002A148D"/>
    <w:rsid w:val="002A27D3"/>
    <w:rsid w:val="002C7FCC"/>
    <w:rsid w:val="002D26FE"/>
    <w:rsid w:val="002E463C"/>
    <w:rsid w:val="002F1AA7"/>
    <w:rsid w:val="002F4805"/>
    <w:rsid w:val="002F5E72"/>
    <w:rsid w:val="00305B7F"/>
    <w:rsid w:val="003130BC"/>
    <w:rsid w:val="00327B94"/>
    <w:rsid w:val="00343325"/>
    <w:rsid w:val="00352741"/>
    <w:rsid w:val="00353720"/>
    <w:rsid w:val="00354335"/>
    <w:rsid w:val="00366364"/>
    <w:rsid w:val="00372E8A"/>
    <w:rsid w:val="0037742B"/>
    <w:rsid w:val="00385FC7"/>
    <w:rsid w:val="00387E02"/>
    <w:rsid w:val="00393E74"/>
    <w:rsid w:val="00393FC4"/>
    <w:rsid w:val="003A1669"/>
    <w:rsid w:val="003B7606"/>
    <w:rsid w:val="003D00CE"/>
    <w:rsid w:val="003E7D03"/>
    <w:rsid w:val="003F2A0C"/>
    <w:rsid w:val="003F74A7"/>
    <w:rsid w:val="004143C0"/>
    <w:rsid w:val="004205F8"/>
    <w:rsid w:val="00422127"/>
    <w:rsid w:val="0045106D"/>
    <w:rsid w:val="00457B1C"/>
    <w:rsid w:val="00472184"/>
    <w:rsid w:val="00485668"/>
    <w:rsid w:val="004953A2"/>
    <w:rsid w:val="004A3427"/>
    <w:rsid w:val="004A381A"/>
    <w:rsid w:val="004A7E0E"/>
    <w:rsid w:val="004B7D21"/>
    <w:rsid w:val="004C5D6D"/>
    <w:rsid w:val="004C75F6"/>
    <w:rsid w:val="004F3471"/>
    <w:rsid w:val="004F718F"/>
    <w:rsid w:val="00504362"/>
    <w:rsid w:val="0051759F"/>
    <w:rsid w:val="00523033"/>
    <w:rsid w:val="005234DF"/>
    <w:rsid w:val="0054789D"/>
    <w:rsid w:val="0055317C"/>
    <w:rsid w:val="00570146"/>
    <w:rsid w:val="005726F3"/>
    <w:rsid w:val="005804FC"/>
    <w:rsid w:val="0058297C"/>
    <w:rsid w:val="00584912"/>
    <w:rsid w:val="005878EA"/>
    <w:rsid w:val="005A61C4"/>
    <w:rsid w:val="005A68BA"/>
    <w:rsid w:val="005C72BF"/>
    <w:rsid w:val="005D449A"/>
    <w:rsid w:val="00604FDF"/>
    <w:rsid w:val="006279CE"/>
    <w:rsid w:val="00671A9F"/>
    <w:rsid w:val="00672190"/>
    <w:rsid w:val="00683AE7"/>
    <w:rsid w:val="006A50A4"/>
    <w:rsid w:val="006B5454"/>
    <w:rsid w:val="006C736B"/>
    <w:rsid w:val="006C7EC7"/>
    <w:rsid w:val="006E50A2"/>
    <w:rsid w:val="006F7B8D"/>
    <w:rsid w:val="00701CEA"/>
    <w:rsid w:val="00707086"/>
    <w:rsid w:val="00716906"/>
    <w:rsid w:val="00726C4B"/>
    <w:rsid w:val="00734AE3"/>
    <w:rsid w:val="007627EC"/>
    <w:rsid w:val="0076396A"/>
    <w:rsid w:val="007659CA"/>
    <w:rsid w:val="00787B73"/>
    <w:rsid w:val="00792F7D"/>
    <w:rsid w:val="00794F42"/>
    <w:rsid w:val="007A054F"/>
    <w:rsid w:val="007A527D"/>
    <w:rsid w:val="007B3C6D"/>
    <w:rsid w:val="007B702A"/>
    <w:rsid w:val="007C36CF"/>
    <w:rsid w:val="007E7102"/>
    <w:rsid w:val="008021B7"/>
    <w:rsid w:val="00814B58"/>
    <w:rsid w:val="008166DD"/>
    <w:rsid w:val="0082355F"/>
    <w:rsid w:val="00852ED9"/>
    <w:rsid w:val="00862BC5"/>
    <w:rsid w:val="00862EF9"/>
    <w:rsid w:val="00875490"/>
    <w:rsid w:val="00882433"/>
    <w:rsid w:val="00885255"/>
    <w:rsid w:val="00897362"/>
    <w:rsid w:val="008A0D7B"/>
    <w:rsid w:val="008A3A99"/>
    <w:rsid w:val="008C2EFB"/>
    <w:rsid w:val="008D0722"/>
    <w:rsid w:val="008D4482"/>
    <w:rsid w:val="008D6ACE"/>
    <w:rsid w:val="008E73B3"/>
    <w:rsid w:val="00902FAA"/>
    <w:rsid w:val="00913F95"/>
    <w:rsid w:val="00915088"/>
    <w:rsid w:val="00915D56"/>
    <w:rsid w:val="00934071"/>
    <w:rsid w:val="00945730"/>
    <w:rsid w:val="00954B16"/>
    <w:rsid w:val="0096144A"/>
    <w:rsid w:val="00983128"/>
    <w:rsid w:val="00987690"/>
    <w:rsid w:val="009B0623"/>
    <w:rsid w:val="009B1103"/>
    <w:rsid w:val="009C00DB"/>
    <w:rsid w:val="009D0ECE"/>
    <w:rsid w:val="009D1C22"/>
    <w:rsid w:val="009E5BED"/>
    <w:rsid w:val="009F630D"/>
    <w:rsid w:val="009F65E3"/>
    <w:rsid w:val="00A036EF"/>
    <w:rsid w:val="00A42DDA"/>
    <w:rsid w:val="00A56A97"/>
    <w:rsid w:val="00A664FA"/>
    <w:rsid w:val="00A67612"/>
    <w:rsid w:val="00A72457"/>
    <w:rsid w:val="00A75190"/>
    <w:rsid w:val="00A768AA"/>
    <w:rsid w:val="00A82835"/>
    <w:rsid w:val="00A85F68"/>
    <w:rsid w:val="00AB048E"/>
    <w:rsid w:val="00AB12AF"/>
    <w:rsid w:val="00B01E81"/>
    <w:rsid w:val="00B22953"/>
    <w:rsid w:val="00B22DA3"/>
    <w:rsid w:val="00B234D2"/>
    <w:rsid w:val="00B30BB2"/>
    <w:rsid w:val="00B33979"/>
    <w:rsid w:val="00B67527"/>
    <w:rsid w:val="00B70268"/>
    <w:rsid w:val="00B734B2"/>
    <w:rsid w:val="00BA693C"/>
    <w:rsid w:val="00BB326B"/>
    <w:rsid w:val="00BD11B5"/>
    <w:rsid w:val="00BF004E"/>
    <w:rsid w:val="00BF0D65"/>
    <w:rsid w:val="00C20E89"/>
    <w:rsid w:val="00C23E98"/>
    <w:rsid w:val="00C4195A"/>
    <w:rsid w:val="00C5621E"/>
    <w:rsid w:val="00C56555"/>
    <w:rsid w:val="00C64E52"/>
    <w:rsid w:val="00C65A90"/>
    <w:rsid w:val="00C713B3"/>
    <w:rsid w:val="00C75BC1"/>
    <w:rsid w:val="00C94AC3"/>
    <w:rsid w:val="00CB320F"/>
    <w:rsid w:val="00CD41C5"/>
    <w:rsid w:val="00CD6941"/>
    <w:rsid w:val="00CF57F7"/>
    <w:rsid w:val="00D11B91"/>
    <w:rsid w:val="00D20DEF"/>
    <w:rsid w:val="00D250AF"/>
    <w:rsid w:val="00D26FBE"/>
    <w:rsid w:val="00D27C70"/>
    <w:rsid w:val="00D67494"/>
    <w:rsid w:val="00D67B67"/>
    <w:rsid w:val="00D72432"/>
    <w:rsid w:val="00D72D8E"/>
    <w:rsid w:val="00DA1E80"/>
    <w:rsid w:val="00DC1E42"/>
    <w:rsid w:val="00DE68C0"/>
    <w:rsid w:val="00DE77E1"/>
    <w:rsid w:val="00E03BDE"/>
    <w:rsid w:val="00E070AF"/>
    <w:rsid w:val="00E21CFA"/>
    <w:rsid w:val="00E25B6F"/>
    <w:rsid w:val="00E51C56"/>
    <w:rsid w:val="00E8008F"/>
    <w:rsid w:val="00E92F1E"/>
    <w:rsid w:val="00EA1905"/>
    <w:rsid w:val="00EB7393"/>
    <w:rsid w:val="00EC48B9"/>
    <w:rsid w:val="00EC782B"/>
    <w:rsid w:val="00ED464A"/>
    <w:rsid w:val="00ED74BC"/>
    <w:rsid w:val="00EF4E69"/>
    <w:rsid w:val="00EF5F34"/>
    <w:rsid w:val="00F0182A"/>
    <w:rsid w:val="00F061DF"/>
    <w:rsid w:val="00F138AE"/>
    <w:rsid w:val="00F20DBB"/>
    <w:rsid w:val="00F223CA"/>
    <w:rsid w:val="00F2591C"/>
    <w:rsid w:val="00F32624"/>
    <w:rsid w:val="00F43703"/>
    <w:rsid w:val="00F51F85"/>
    <w:rsid w:val="00F52694"/>
    <w:rsid w:val="00F665F7"/>
    <w:rsid w:val="00F80759"/>
    <w:rsid w:val="00F83F61"/>
    <w:rsid w:val="00FA5710"/>
    <w:rsid w:val="00FC783F"/>
    <w:rsid w:val="00FD5EFB"/>
    <w:rsid w:val="00FE4FBA"/>
    <w:rsid w:val="00FF511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3441</TotalTime>
  <Pages>16</Pages>
  <Words>9647</Words>
  <Characters>54989</Characters>
  <Application>Microsoft Office Word</Application>
  <DocSecurity>0</DocSecurity>
  <Lines>458</Lines>
  <Paragraphs>129</Paragraphs>
  <ScaleCrop>false</ScaleCrop>
  <Company/>
  <LinksUpToDate>false</LinksUpToDate>
  <CharactersWithSpaces>64507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623</cp:revision>
  <dcterms:created xsi:type="dcterms:W3CDTF">2019-08-28T09:47:00Z</dcterms:created>
  <dcterms:modified xsi:type="dcterms:W3CDTF">2020-01-28T17:03:00Z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