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http://ultimatepaleoguide.com/files/2012/05/Paleo-Diet-Food-List-PDF.pdf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Allowed Foods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arrayAllowedFood =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“poultry”,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“turkey”,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“chicken”,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“chicken breast”,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“pork tenderloin”,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“pork chops”,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“steak”,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“bacon”,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“pork”,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“ground beef”,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“grass fed beef”,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“chicken thigh”,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“chicken leg”,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“chicken wings”,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“lamb rack”,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“shrimp”,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“shrimps”,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“prawn”,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“prawns”,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“lobster”,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“clams”,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“mussels”,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“salmon”,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“fish”,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“catfish”,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“makrel”,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“cod”,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“haddock”,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“venison”,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“lamb chops”,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“rabbit”,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“goat”,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“bear”,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“eggs”,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“egg”,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“chicken eggs”,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“chicken egg”,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“duck egg”,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“duck eggs”,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“goose egg”,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“goose eggs”,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“asparagus”,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“avocado”,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“artichoke hearts”,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“brussels sprouts”,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“carrots”,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“spinach”,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“celery”,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“broccoli”,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“zucchini”,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“cabbage”,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“peppers”,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“cauliflower”,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“parsley”,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“eggplant”,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“green onions”,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“butternut squash”,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“yam”,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“sweet potato”,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“beetroot”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“coconut oil”,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“olive oil”,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“macadamia oil”,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“avocado oil”,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“grass fed butter”,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“almonds”,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“almond”,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“cashews”,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“cashew”,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“hazelnuts”,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“hazelnut”,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“pecans”,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“pecan”,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“pine nuts”,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“pumpkin seeds”,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“sunflower seeds”,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“macadamia nut:,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“walnuts”,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“walnut”,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“Apple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Avocado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Blackberries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Papaya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Peaches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Plums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Lychee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Blueberries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Blueberrie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Strawberries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Watermelon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Pineapple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Raspberries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Clementine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Cantaloupe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Tangerine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Bananas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ALLOWED FOODS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Butter • Cheese • Cottage Cheese • Non fat dairy creamer • Skim milk • 2% milk • Whole mil (sometimes) • Dairy spreads • Cream cheese • Powdered milk • Yogurt • Pudding • Frozen Yogurt • Ice Milk • Low fat milk • Ice cream Soft drinks • Coke • Sprite • Pepsi • Mountain Dew • [insert list of soft drinks here] Fruit Juices • Apple Juice • Orange Juice • Grape Juice • Strawberry Juice • Chinola Juice • Starfruit Juice • Mango Juice Cereals • Bread • English Muffin • Toast • Sandwiches • Triscuits • Wheat Thins • Crackers • Oatmeal • Cream of Wheat • Corn • Wheat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beans (listed below) ◦ Black Beans ◦ Broad Beans ◦ Fava Beans ◦ Garbanzo Beans ◦ Horse Beans ◦ Kidney Beans ◦ Lima Beans ◦ Mung Beans ◦ Adzuki Beans ◦ Navy Beans ◦ Pinto Beans ◦ Red Beans ◦ Green Beans ◦ String Beans ◦ White Beans • Peas (listed below) ◦ Black Eyed Peas (and yes, you should also avoid the band) ◦ Chickpeas ◦ Snowpeas ◦ Sugar snap peas • Peanuts • Peanut butter • Miso • Lentils • Lupins • Mesquite • Soybeans • All soybean products and derivatives • Tofu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Spam • Hot Dogs • Other low-quality meats (if you do eat them, eat them in moderation)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Candy bars (Listed Below) ◦ Snickers ◦ Snickers Peanut Butter ◦ 100 Grand ◦ Butterfinger ◦ Milky Way ◦ Reeses (NOOOO!) ◦ Payday ◦ M&amp;Ms ◦ Hershey’s ◦ Nestle Crunch ◦ Almond Joy ◦ Mounds ◦ Reese’s Fast Break ◦ Reeses’ Pieces ◦ Twix ◦ Twix Peanut Butter • Sugars (sometimes allowed in moderation)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White sugar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