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0C92F8" w14:textId="2A126625" w:rsidR="000121B4" w:rsidRPr="001F49B2" w:rsidRDefault="000121B4" w:rsidP="000121B4">
      <w:pPr>
        <w:ind w:left="0" w:firstLine="0"/>
        <w:jc w:val="both"/>
        <w:rPr>
          <w:rFonts w:ascii="Century Gothic" w:hAnsi="Century Gothic"/>
          <w:b/>
          <w:bCs/>
        </w:rPr>
      </w:pPr>
      <w:r w:rsidRPr="001F49B2">
        <w:rPr>
          <w:rFonts w:ascii="Century Gothic" w:hAnsi="Century Gothic"/>
          <w:b/>
          <w:bCs/>
        </w:rPr>
        <w:t xml:space="preserve">Lipa </w:t>
      </w:r>
      <w:proofErr w:type="spellStart"/>
      <w:r w:rsidRPr="001F49B2">
        <w:rPr>
          <w:rFonts w:ascii="Century Gothic" w:hAnsi="Century Gothic"/>
          <w:b/>
          <w:bCs/>
        </w:rPr>
        <w:t>Mdogo</w:t>
      </w:r>
      <w:proofErr w:type="spellEnd"/>
      <w:r w:rsidRPr="001F49B2">
        <w:rPr>
          <w:rFonts w:ascii="Century Gothic" w:hAnsi="Century Gothic"/>
          <w:b/>
          <w:bCs/>
        </w:rPr>
        <w:t xml:space="preserve"> </w:t>
      </w:r>
      <w:proofErr w:type="spellStart"/>
      <w:r w:rsidRPr="001F49B2">
        <w:rPr>
          <w:rFonts w:ascii="Century Gothic" w:hAnsi="Century Gothic"/>
          <w:b/>
          <w:bCs/>
        </w:rPr>
        <w:t>mdogo</w:t>
      </w:r>
      <w:proofErr w:type="spellEnd"/>
      <w:r w:rsidRPr="001F49B2">
        <w:rPr>
          <w:rFonts w:ascii="Century Gothic" w:hAnsi="Century Gothic"/>
          <w:b/>
          <w:bCs/>
        </w:rPr>
        <w:t>/Buy Now, Pay Later (BNPL) Default Risk Prediction Model</w:t>
      </w:r>
    </w:p>
    <w:p w14:paraId="36E32ABC" w14:textId="77777777" w:rsidR="000121B4" w:rsidRPr="001F49B2" w:rsidRDefault="000121B4" w:rsidP="000121B4">
      <w:pPr>
        <w:ind w:left="0" w:firstLine="0"/>
        <w:jc w:val="both"/>
        <w:rPr>
          <w:rFonts w:ascii="Century Gothic" w:hAnsi="Century Gothic"/>
          <w:b/>
          <w:bCs/>
        </w:rPr>
      </w:pPr>
    </w:p>
    <w:p w14:paraId="2C6F2CCE" w14:textId="77777777" w:rsidR="000121B4" w:rsidRPr="001F49B2" w:rsidRDefault="000121B4" w:rsidP="000121B4">
      <w:pPr>
        <w:ind w:left="0" w:firstLine="0"/>
        <w:jc w:val="both"/>
        <w:rPr>
          <w:rFonts w:ascii="Century Gothic" w:hAnsi="Century Gothic"/>
          <w:b/>
          <w:bCs/>
        </w:rPr>
      </w:pPr>
      <w:r w:rsidRPr="001F49B2">
        <w:rPr>
          <w:rFonts w:ascii="Century Gothic" w:hAnsi="Century Gothic"/>
          <w:b/>
          <w:bCs/>
        </w:rPr>
        <w:t>1. Problem Statement</w:t>
      </w:r>
    </w:p>
    <w:p w14:paraId="240EFE3F" w14:textId="77777777" w:rsidR="000121B4" w:rsidRDefault="000121B4" w:rsidP="000121B4">
      <w:pPr>
        <w:ind w:left="0" w:firstLine="0"/>
        <w:jc w:val="both"/>
        <w:rPr>
          <w:rFonts w:ascii="Century Gothic" w:hAnsi="Century Gothic"/>
        </w:rPr>
      </w:pPr>
      <w:r w:rsidRPr="001F49B2">
        <w:rPr>
          <w:rFonts w:ascii="Century Gothic" w:hAnsi="Century Gothic"/>
        </w:rPr>
        <w:t xml:space="preserve">The Buy Now, Pay Later (BNPL) model enables consumers to purchase goods and pay in instalments, increasing access to short-term credit in e-commerce. However, delayed or missed repayments expose BNPL providers to credit risk and potential financial losses. </w:t>
      </w:r>
    </w:p>
    <w:p w14:paraId="2335208C" w14:textId="77777777" w:rsidR="001F49B2" w:rsidRPr="001F49B2" w:rsidRDefault="001F49B2" w:rsidP="000121B4">
      <w:pPr>
        <w:ind w:left="0" w:firstLine="0"/>
        <w:jc w:val="both"/>
        <w:rPr>
          <w:rFonts w:ascii="Century Gothic" w:hAnsi="Century Gothic"/>
        </w:rPr>
      </w:pPr>
    </w:p>
    <w:p w14:paraId="4016A64A" w14:textId="153FA4FF" w:rsidR="000121B4" w:rsidRPr="001F49B2" w:rsidRDefault="000121B4" w:rsidP="000121B4">
      <w:pPr>
        <w:ind w:left="0" w:firstLine="0"/>
        <w:jc w:val="both"/>
        <w:rPr>
          <w:rFonts w:ascii="Century Gothic" w:hAnsi="Century Gothic"/>
        </w:rPr>
      </w:pPr>
      <w:r w:rsidRPr="001F49B2">
        <w:rPr>
          <w:rFonts w:ascii="Century Gothic" w:hAnsi="Century Gothic"/>
        </w:rPr>
        <w:t xml:space="preserve">This project seeks to develop a machine learning model that predicts the likelihood of customer default using the customer demographics (Age, employment status, Income level etc) and shopping behaviour. </w:t>
      </w:r>
    </w:p>
    <w:p w14:paraId="276D0928" w14:textId="77777777" w:rsidR="000121B4" w:rsidRPr="001F49B2" w:rsidRDefault="000121B4" w:rsidP="000121B4">
      <w:pPr>
        <w:ind w:left="0" w:firstLine="0"/>
        <w:jc w:val="both"/>
        <w:rPr>
          <w:rFonts w:ascii="Century Gothic" w:hAnsi="Century Gothic"/>
        </w:rPr>
      </w:pPr>
    </w:p>
    <w:p w14:paraId="3FF63B5A" w14:textId="77777777" w:rsidR="000121B4" w:rsidRPr="001F49B2" w:rsidRDefault="000121B4" w:rsidP="000121B4">
      <w:pPr>
        <w:ind w:left="0" w:firstLine="0"/>
        <w:jc w:val="both"/>
        <w:rPr>
          <w:rFonts w:ascii="Century Gothic" w:hAnsi="Century Gothic"/>
          <w:b/>
          <w:bCs/>
        </w:rPr>
      </w:pPr>
      <w:r w:rsidRPr="001F49B2">
        <w:rPr>
          <w:rFonts w:ascii="Century Gothic" w:hAnsi="Century Gothic"/>
          <w:b/>
          <w:bCs/>
        </w:rPr>
        <w:t>2. Business Objective</w:t>
      </w:r>
    </w:p>
    <w:p w14:paraId="644FB6B2" w14:textId="6C93A262" w:rsidR="000121B4" w:rsidRPr="001F49B2" w:rsidRDefault="000121B4" w:rsidP="000121B4">
      <w:pPr>
        <w:ind w:left="0" w:firstLine="0"/>
        <w:jc w:val="both"/>
        <w:rPr>
          <w:rFonts w:ascii="Century Gothic" w:hAnsi="Century Gothic"/>
        </w:rPr>
      </w:pPr>
      <w:r w:rsidRPr="001F49B2">
        <w:rPr>
          <w:rFonts w:ascii="Century Gothic" w:hAnsi="Century Gothic"/>
        </w:rPr>
        <w:t>To develop and evaluate a machine learning model that identifies customers at risk of default on their BNPL obligations. Specifically:</w:t>
      </w:r>
    </w:p>
    <w:p w14:paraId="6CCF1E89" w14:textId="77777777" w:rsidR="0020275B" w:rsidRPr="001F49B2" w:rsidRDefault="000121B4" w:rsidP="0020275B">
      <w:pPr>
        <w:pStyle w:val="ListParagraph"/>
        <w:numPr>
          <w:ilvl w:val="0"/>
          <w:numId w:val="1"/>
        </w:numPr>
        <w:jc w:val="both"/>
        <w:rPr>
          <w:rFonts w:ascii="Century Gothic" w:hAnsi="Century Gothic"/>
        </w:rPr>
      </w:pPr>
      <w:r w:rsidRPr="001F49B2">
        <w:rPr>
          <w:rFonts w:ascii="Century Gothic" w:hAnsi="Century Gothic"/>
          <w:b/>
          <w:bCs/>
        </w:rPr>
        <w:t>Default risk prediction</w:t>
      </w:r>
      <w:r w:rsidRPr="001F49B2">
        <w:rPr>
          <w:rFonts w:ascii="Century Gothic" w:hAnsi="Century Gothic"/>
        </w:rPr>
        <w:t xml:space="preserve"> -Analyse customer demographics, income, creditworthiness, existing BNPL exposure, repayment history, and shopping behaviour to identify patterns associated with default.</w:t>
      </w:r>
    </w:p>
    <w:p w14:paraId="21917C4A" w14:textId="77777777" w:rsidR="0020275B" w:rsidRPr="001F49B2" w:rsidRDefault="0020275B" w:rsidP="0020275B">
      <w:pPr>
        <w:pStyle w:val="ListParagraph"/>
        <w:numPr>
          <w:ilvl w:val="0"/>
          <w:numId w:val="1"/>
        </w:numPr>
        <w:jc w:val="both"/>
        <w:rPr>
          <w:rFonts w:ascii="Century Gothic" w:hAnsi="Century Gothic"/>
        </w:rPr>
      </w:pPr>
      <w:r w:rsidRPr="001F49B2">
        <w:rPr>
          <w:rFonts w:ascii="Century Gothic" w:hAnsi="Century Gothic"/>
          <w:b/>
          <w:bCs/>
        </w:rPr>
        <w:t>Customer segmentation</w:t>
      </w:r>
      <w:r w:rsidRPr="001F49B2">
        <w:rPr>
          <w:rFonts w:ascii="Century Gothic" w:hAnsi="Century Gothic"/>
        </w:rPr>
        <w:t>-</w:t>
      </w:r>
      <w:r w:rsidR="000121B4" w:rsidRPr="001F49B2">
        <w:rPr>
          <w:rFonts w:ascii="Century Gothic" w:hAnsi="Century Gothic"/>
        </w:rPr>
        <w:t>Develop and compare suitable classification</w:t>
      </w:r>
      <w:r w:rsidRPr="001F49B2">
        <w:rPr>
          <w:rFonts w:ascii="Century Gothic" w:hAnsi="Century Gothic"/>
        </w:rPr>
        <w:t xml:space="preserve"> for segmenting the customers in terms of who are likely to default (Students, employed, unemployed)</w:t>
      </w:r>
    </w:p>
    <w:p w14:paraId="4B281F7C" w14:textId="2E843928" w:rsidR="000121B4" w:rsidRPr="001F49B2" w:rsidRDefault="000121B4" w:rsidP="0020275B">
      <w:pPr>
        <w:pStyle w:val="ListParagraph"/>
        <w:numPr>
          <w:ilvl w:val="0"/>
          <w:numId w:val="1"/>
        </w:numPr>
        <w:jc w:val="both"/>
        <w:rPr>
          <w:rFonts w:ascii="Century Gothic" w:hAnsi="Century Gothic"/>
        </w:rPr>
      </w:pPr>
      <w:r w:rsidRPr="001F49B2">
        <w:rPr>
          <w:rFonts w:ascii="Century Gothic" w:hAnsi="Century Gothic"/>
        </w:rPr>
        <w:t>Demonstrate how predicted risk scores could support credit assessment, responsible credit limits, early-warning monitoring and improved risk management.</w:t>
      </w:r>
    </w:p>
    <w:p w14:paraId="44A66064" w14:textId="77777777" w:rsidR="0020275B" w:rsidRPr="001F49B2" w:rsidRDefault="0020275B" w:rsidP="000121B4">
      <w:pPr>
        <w:ind w:left="0" w:firstLine="0"/>
        <w:jc w:val="both"/>
        <w:rPr>
          <w:rFonts w:ascii="Century Gothic" w:hAnsi="Century Gothic"/>
        </w:rPr>
      </w:pPr>
    </w:p>
    <w:p w14:paraId="623D040A" w14:textId="77777777" w:rsidR="000121B4" w:rsidRPr="001F49B2" w:rsidRDefault="000121B4" w:rsidP="000121B4">
      <w:pPr>
        <w:ind w:left="0" w:firstLine="0"/>
        <w:jc w:val="both"/>
        <w:rPr>
          <w:rFonts w:ascii="Century Gothic" w:hAnsi="Century Gothic"/>
          <w:b/>
          <w:bCs/>
        </w:rPr>
      </w:pPr>
      <w:r w:rsidRPr="001F49B2">
        <w:rPr>
          <w:rFonts w:ascii="Century Gothic" w:hAnsi="Century Gothic"/>
          <w:b/>
          <w:bCs/>
        </w:rPr>
        <w:t>3. Data Source</w:t>
      </w:r>
    </w:p>
    <w:p w14:paraId="59D0E9DE" w14:textId="3E9D3E4A" w:rsidR="000121B4" w:rsidRPr="001F49B2" w:rsidRDefault="000121B4" w:rsidP="0020403D">
      <w:pPr>
        <w:ind w:left="0" w:firstLine="0"/>
        <w:rPr>
          <w:rFonts w:ascii="Century Gothic" w:hAnsi="Century Gothic"/>
        </w:rPr>
      </w:pPr>
      <w:r w:rsidRPr="001F49B2">
        <w:rPr>
          <w:rFonts w:ascii="Century Gothic" w:hAnsi="Century Gothic"/>
        </w:rPr>
        <w:t xml:space="preserve">The project uses a publicly available dataset obtained from Kaggle, comprising 10,000 customer records from the Indian e-commerce BNPL market. The dataset contains 11 </w:t>
      </w:r>
      <w:r w:rsidR="001F49B2" w:rsidRPr="001F49B2">
        <w:rPr>
          <w:rFonts w:ascii="Century Gothic" w:hAnsi="Century Gothic"/>
        </w:rPr>
        <w:t>columns</w:t>
      </w:r>
      <w:r w:rsidR="001F49B2">
        <w:rPr>
          <w:rFonts w:ascii="Century Gothic" w:hAnsi="Century Gothic"/>
        </w:rPr>
        <w:t xml:space="preserve">. The target variable is the </w:t>
      </w:r>
      <w:r w:rsidR="001F49B2" w:rsidRPr="001F49B2">
        <w:rPr>
          <w:rFonts w:ascii="Century Gothic" w:hAnsi="Century Gothic"/>
          <w:b/>
          <w:bCs/>
        </w:rPr>
        <w:t>default Risk</w:t>
      </w:r>
    </w:p>
    <w:p w14:paraId="3F131DBA" w14:textId="16CA9505" w:rsidR="0020403D" w:rsidRPr="001F49B2" w:rsidRDefault="005529AD" w:rsidP="0020403D">
      <w:pPr>
        <w:ind w:left="0" w:firstLine="0"/>
        <w:rPr>
          <w:rFonts w:ascii="Century Gothic" w:hAnsi="Century Gothic"/>
        </w:rPr>
      </w:pPr>
      <w:r w:rsidRPr="001F49B2">
        <w:rPr>
          <w:rFonts w:ascii="Century Gothic" w:hAnsi="Century Gothic"/>
        </w:rPr>
        <w:object w:dxaOrig="1534" w:dyaOrig="994" w14:anchorId="41B819F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9" type="#_x0000_t75" style="width:76.5pt;height:49.5pt" o:ole="">
            <v:imagedata r:id="rId5" o:title=""/>
          </v:shape>
          <o:OLEObject Type="Embed" ProgID="Excel.Sheet.12" ShapeID="_x0000_i1029" DrawAspect="Icon" ObjectID="_1853604076" r:id="rId6"/>
        </w:object>
      </w:r>
    </w:p>
    <w:p w14:paraId="2636627F" w14:textId="77777777" w:rsidR="0020275B" w:rsidRPr="001F49B2" w:rsidRDefault="0020275B" w:rsidP="000121B4">
      <w:pPr>
        <w:ind w:left="0" w:firstLine="0"/>
        <w:jc w:val="both"/>
        <w:rPr>
          <w:rFonts w:ascii="Century Gothic" w:hAnsi="Century Gothic"/>
        </w:rPr>
      </w:pPr>
    </w:p>
    <w:p w14:paraId="3EA8DB9D" w14:textId="77777777" w:rsidR="000121B4" w:rsidRPr="001F49B2" w:rsidRDefault="000121B4" w:rsidP="000121B4">
      <w:pPr>
        <w:ind w:left="0" w:firstLine="0"/>
        <w:jc w:val="both"/>
        <w:rPr>
          <w:rFonts w:ascii="Century Gothic" w:hAnsi="Century Gothic"/>
          <w:b/>
          <w:bCs/>
        </w:rPr>
      </w:pPr>
      <w:r w:rsidRPr="001F49B2">
        <w:rPr>
          <w:rFonts w:ascii="Century Gothic" w:hAnsi="Century Gothic"/>
          <w:b/>
          <w:bCs/>
        </w:rPr>
        <w:t>4. Project Limitations</w:t>
      </w:r>
    </w:p>
    <w:p w14:paraId="3564E7B6" w14:textId="7B19FAD8" w:rsidR="00703FFA" w:rsidRDefault="0020275B" w:rsidP="000121B4">
      <w:pPr>
        <w:ind w:left="0" w:firstLine="0"/>
        <w:jc w:val="both"/>
        <w:rPr>
          <w:rFonts w:ascii="Century Gothic" w:hAnsi="Century Gothic"/>
        </w:rPr>
      </w:pPr>
      <w:r w:rsidRPr="001F49B2">
        <w:rPr>
          <w:rFonts w:ascii="Century Gothic" w:hAnsi="Century Gothic"/>
        </w:rPr>
        <w:t>a) T</w:t>
      </w:r>
      <w:r w:rsidR="000121B4" w:rsidRPr="001F49B2">
        <w:rPr>
          <w:rFonts w:ascii="Century Gothic" w:hAnsi="Century Gothic"/>
        </w:rPr>
        <w:t xml:space="preserve">he dataset </w:t>
      </w:r>
      <w:r w:rsidRPr="001F49B2">
        <w:rPr>
          <w:rFonts w:ascii="Century Gothic" w:hAnsi="Century Gothic"/>
        </w:rPr>
        <w:t>is from the</w:t>
      </w:r>
      <w:r w:rsidR="000121B4" w:rsidRPr="001F49B2">
        <w:rPr>
          <w:rFonts w:ascii="Century Gothic" w:hAnsi="Century Gothic"/>
        </w:rPr>
        <w:t xml:space="preserve"> Indian e-commerce market; therefore, its customer characteristics, credit practices and repayment patterns may differ from those in Kenya. </w:t>
      </w:r>
    </w:p>
    <w:p w14:paraId="100619D3" w14:textId="77777777" w:rsidR="00703FFA" w:rsidRPr="001F49B2" w:rsidRDefault="00703FFA" w:rsidP="000121B4">
      <w:pPr>
        <w:ind w:left="0" w:firstLine="0"/>
        <w:jc w:val="both"/>
        <w:rPr>
          <w:rFonts w:ascii="Century Gothic" w:hAnsi="Century Gothic"/>
        </w:rPr>
      </w:pPr>
    </w:p>
    <w:p w14:paraId="23BD6CD3" w14:textId="77777777" w:rsidR="0020275B" w:rsidRDefault="0020275B" w:rsidP="000121B4">
      <w:pPr>
        <w:ind w:left="0" w:firstLine="0"/>
        <w:jc w:val="both"/>
        <w:rPr>
          <w:rFonts w:ascii="Century Gothic" w:hAnsi="Century Gothic"/>
        </w:rPr>
      </w:pPr>
      <w:r w:rsidRPr="001F49B2">
        <w:rPr>
          <w:rFonts w:ascii="Century Gothic" w:hAnsi="Century Gothic"/>
        </w:rPr>
        <w:t>b) T</w:t>
      </w:r>
      <w:r w:rsidR="000121B4" w:rsidRPr="001F49B2">
        <w:rPr>
          <w:rFonts w:ascii="Century Gothic" w:hAnsi="Century Gothic"/>
        </w:rPr>
        <w:t xml:space="preserve">he dataset contains 10,000 records, which may not capture the full diversity of BNPL customers or economic conditions. </w:t>
      </w:r>
    </w:p>
    <w:p w14:paraId="49515D46" w14:textId="77777777" w:rsidR="00703FFA" w:rsidRPr="001F49B2" w:rsidRDefault="00703FFA" w:rsidP="000121B4">
      <w:pPr>
        <w:ind w:left="0" w:firstLine="0"/>
        <w:jc w:val="both"/>
        <w:rPr>
          <w:rFonts w:ascii="Century Gothic" w:hAnsi="Century Gothic"/>
        </w:rPr>
      </w:pPr>
    </w:p>
    <w:p w14:paraId="6C25CB5C" w14:textId="7E4D7AE0" w:rsidR="0020275B" w:rsidRDefault="0020275B" w:rsidP="000121B4">
      <w:pPr>
        <w:ind w:left="0" w:firstLine="0"/>
        <w:jc w:val="both"/>
        <w:rPr>
          <w:rFonts w:ascii="Century Gothic" w:hAnsi="Century Gothic"/>
        </w:rPr>
      </w:pPr>
      <w:r w:rsidRPr="001F49B2">
        <w:rPr>
          <w:rFonts w:ascii="Century Gothic" w:hAnsi="Century Gothic"/>
        </w:rPr>
        <w:t xml:space="preserve">c) </w:t>
      </w:r>
      <w:r w:rsidR="0020403D" w:rsidRPr="001F49B2">
        <w:rPr>
          <w:rFonts w:ascii="Century Gothic" w:hAnsi="Century Gothic"/>
        </w:rPr>
        <w:t>The customers preference and behaviour might keep changing over time, and thus overreliance on historical data may distort the model.</w:t>
      </w:r>
    </w:p>
    <w:p w14:paraId="6FC1A054" w14:textId="77777777" w:rsidR="00703FFA" w:rsidRPr="001F49B2" w:rsidRDefault="00703FFA" w:rsidP="000121B4">
      <w:pPr>
        <w:ind w:left="0" w:firstLine="0"/>
        <w:jc w:val="both"/>
        <w:rPr>
          <w:rFonts w:ascii="Century Gothic" w:hAnsi="Century Gothic"/>
        </w:rPr>
      </w:pPr>
    </w:p>
    <w:p w14:paraId="041FEFB9" w14:textId="7C3AEFE4" w:rsidR="0020275B" w:rsidRDefault="0020275B" w:rsidP="000121B4">
      <w:pPr>
        <w:ind w:left="0" w:firstLine="0"/>
        <w:jc w:val="both"/>
        <w:rPr>
          <w:rFonts w:ascii="Century Gothic" w:hAnsi="Century Gothic"/>
        </w:rPr>
      </w:pPr>
      <w:r w:rsidRPr="001F49B2">
        <w:rPr>
          <w:rFonts w:ascii="Century Gothic" w:hAnsi="Century Gothic"/>
        </w:rPr>
        <w:t>d)T</w:t>
      </w:r>
      <w:r w:rsidR="000121B4" w:rsidRPr="001F49B2">
        <w:rPr>
          <w:rFonts w:ascii="Century Gothic" w:hAnsi="Century Gothic"/>
        </w:rPr>
        <w:t>he</w:t>
      </w:r>
      <w:r w:rsidR="0020403D" w:rsidRPr="001F49B2">
        <w:rPr>
          <w:rFonts w:ascii="Century Gothic" w:hAnsi="Century Gothic"/>
        </w:rPr>
        <w:t xml:space="preserve"> </w:t>
      </w:r>
      <w:r w:rsidR="000121B4" w:rsidRPr="001F49B2">
        <w:rPr>
          <w:rFonts w:ascii="Century Gothic" w:hAnsi="Century Gothic"/>
        </w:rPr>
        <w:t xml:space="preserve">measurement period of </w:t>
      </w:r>
      <w:proofErr w:type="spellStart"/>
      <w:r w:rsidR="000121B4" w:rsidRPr="001F49B2">
        <w:rPr>
          <w:rFonts w:ascii="Century Gothic" w:hAnsi="Century Gothic"/>
        </w:rPr>
        <w:t>Default_Risk</w:t>
      </w:r>
      <w:proofErr w:type="spellEnd"/>
      <w:r w:rsidR="000121B4" w:rsidRPr="001F49B2">
        <w:rPr>
          <w:rFonts w:ascii="Century Gothic" w:hAnsi="Century Gothic"/>
        </w:rPr>
        <w:t xml:space="preserve"> and </w:t>
      </w:r>
      <w:proofErr w:type="spellStart"/>
      <w:r w:rsidR="000121B4" w:rsidRPr="001F49B2">
        <w:rPr>
          <w:rFonts w:ascii="Century Gothic" w:hAnsi="Century Gothic"/>
        </w:rPr>
        <w:t>Late_Payment_History</w:t>
      </w:r>
      <w:proofErr w:type="spellEnd"/>
      <w:r w:rsidR="000121B4" w:rsidRPr="001F49B2">
        <w:rPr>
          <w:rFonts w:ascii="Century Gothic" w:hAnsi="Century Gothic"/>
        </w:rPr>
        <w:t xml:space="preserve"> </w:t>
      </w:r>
      <w:r w:rsidR="0020403D" w:rsidRPr="001F49B2">
        <w:rPr>
          <w:rFonts w:ascii="Century Gothic" w:hAnsi="Century Gothic"/>
        </w:rPr>
        <w:t>varies for each BNPL service provider</w:t>
      </w:r>
      <w:r w:rsidR="000121B4" w:rsidRPr="001F49B2">
        <w:rPr>
          <w:rFonts w:ascii="Century Gothic" w:hAnsi="Century Gothic"/>
        </w:rPr>
        <w:t xml:space="preserve"> </w:t>
      </w:r>
      <w:r w:rsidR="0020403D" w:rsidRPr="001F49B2">
        <w:rPr>
          <w:rFonts w:ascii="Century Gothic" w:hAnsi="Century Gothic"/>
        </w:rPr>
        <w:t>which may lead to</w:t>
      </w:r>
      <w:r w:rsidR="000121B4" w:rsidRPr="001F49B2">
        <w:rPr>
          <w:rFonts w:ascii="Century Gothic" w:hAnsi="Century Gothic"/>
        </w:rPr>
        <w:t xml:space="preserve"> inconsistent interpretation. </w:t>
      </w:r>
    </w:p>
    <w:p w14:paraId="51D1A55F" w14:textId="77777777" w:rsidR="00703FFA" w:rsidRPr="001F49B2" w:rsidRDefault="00703FFA" w:rsidP="000121B4">
      <w:pPr>
        <w:ind w:left="0" w:firstLine="0"/>
        <w:jc w:val="both"/>
        <w:rPr>
          <w:rFonts w:ascii="Century Gothic" w:hAnsi="Century Gothic"/>
        </w:rPr>
      </w:pPr>
    </w:p>
    <w:p w14:paraId="488BF0CB" w14:textId="3BD750B2" w:rsidR="0020275B" w:rsidRPr="001F49B2" w:rsidRDefault="0020403D" w:rsidP="000121B4">
      <w:pPr>
        <w:ind w:left="0" w:firstLine="0"/>
        <w:jc w:val="both"/>
        <w:rPr>
          <w:rFonts w:ascii="Century Gothic" w:hAnsi="Century Gothic"/>
        </w:rPr>
      </w:pPr>
      <w:r w:rsidRPr="001F49B2">
        <w:rPr>
          <w:rFonts w:ascii="Century Gothic" w:hAnsi="Century Gothic"/>
        </w:rPr>
        <w:t>e) The</w:t>
      </w:r>
      <w:r w:rsidR="000121B4" w:rsidRPr="001F49B2">
        <w:rPr>
          <w:rFonts w:ascii="Century Gothic" w:hAnsi="Century Gothic"/>
        </w:rPr>
        <w:t xml:space="preserve"> dataset may omit important predictors, including repayment capacity over time, loan tenure, instalment schedules, employment stability and broader economic conditions. </w:t>
      </w:r>
    </w:p>
    <w:p w14:paraId="7E2D2945" w14:textId="77777777" w:rsidR="00F74202" w:rsidRPr="001F49B2" w:rsidRDefault="00F74202" w:rsidP="000121B4">
      <w:pPr>
        <w:ind w:left="0" w:firstLine="0"/>
        <w:jc w:val="both"/>
        <w:rPr>
          <w:rFonts w:ascii="Century Gothic" w:hAnsi="Century Gothic"/>
        </w:rPr>
      </w:pPr>
    </w:p>
    <w:p w14:paraId="2F68A1DA" w14:textId="77777777" w:rsidR="0020403D" w:rsidRPr="001F49B2" w:rsidRDefault="0020403D" w:rsidP="000121B4">
      <w:pPr>
        <w:ind w:left="0" w:firstLine="0"/>
        <w:jc w:val="both"/>
        <w:rPr>
          <w:rFonts w:ascii="Century Gothic" w:hAnsi="Century Gothic"/>
        </w:rPr>
      </w:pPr>
    </w:p>
    <w:p w14:paraId="513C7D41" w14:textId="77777777" w:rsidR="0020403D" w:rsidRPr="001F49B2" w:rsidRDefault="0020403D" w:rsidP="000121B4">
      <w:pPr>
        <w:ind w:left="0" w:firstLine="0"/>
        <w:jc w:val="both"/>
        <w:rPr>
          <w:rFonts w:ascii="Century Gothic" w:hAnsi="Century Gothic"/>
        </w:rPr>
      </w:pPr>
    </w:p>
    <w:p w14:paraId="689F6DAC" w14:textId="3ABB9D36" w:rsidR="0020403D" w:rsidRPr="001F49B2" w:rsidRDefault="0020403D" w:rsidP="0020403D">
      <w:pPr>
        <w:ind w:left="0" w:firstLine="0"/>
        <w:jc w:val="both"/>
        <w:rPr>
          <w:rFonts w:ascii="Century Gothic" w:hAnsi="Century Gothic"/>
        </w:rPr>
      </w:pPr>
      <w:r w:rsidRPr="001F49B2">
        <w:rPr>
          <w:rFonts w:ascii="Century Gothic" w:hAnsi="Century Gothic"/>
        </w:rPr>
        <w:lastRenderedPageBreak/>
        <w:t xml:space="preserve">The model is intended as a decision-support tool rather than an </w:t>
      </w:r>
      <w:r w:rsidR="00542F74" w:rsidRPr="001F49B2">
        <w:rPr>
          <w:rFonts w:ascii="Century Gothic" w:hAnsi="Century Gothic"/>
        </w:rPr>
        <w:t xml:space="preserve">outright </w:t>
      </w:r>
      <w:r w:rsidRPr="001F49B2">
        <w:rPr>
          <w:rFonts w:ascii="Century Gothic" w:hAnsi="Century Gothic"/>
        </w:rPr>
        <w:t>automatic basis for rejecting customers. Its practical effectiveness would require further validation using relevant local data.</w:t>
      </w:r>
    </w:p>
    <w:p w14:paraId="019267A9" w14:textId="77777777" w:rsidR="0020403D" w:rsidRPr="001F49B2" w:rsidRDefault="0020403D" w:rsidP="000121B4">
      <w:pPr>
        <w:ind w:left="0" w:firstLine="0"/>
        <w:jc w:val="both"/>
        <w:rPr>
          <w:rFonts w:ascii="Century Gothic" w:hAnsi="Century Gothic"/>
        </w:rPr>
      </w:pPr>
    </w:p>
    <w:sectPr w:rsidR="0020403D" w:rsidRPr="001F49B2" w:rsidSect="000121B4">
      <w:pgSz w:w="11906" w:h="16838"/>
      <w:pgMar w:top="1440" w:right="1440" w:bottom="1440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9903F9"/>
    <w:multiLevelType w:val="multilevel"/>
    <w:tmpl w:val="A70E2FBC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47439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1B4"/>
    <w:rsid w:val="000121B4"/>
    <w:rsid w:val="00067434"/>
    <w:rsid w:val="001F49B2"/>
    <w:rsid w:val="0020275B"/>
    <w:rsid w:val="0020403D"/>
    <w:rsid w:val="00325BDB"/>
    <w:rsid w:val="003F12C1"/>
    <w:rsid w:val="00542F74"/>
    <w:rsid w:val="005435F0"/>
    <w:rsid w:val="005529AD"/>
    <w:rsid w:val="00682FD2"/>
    <w:rsid w:val="006C754E"/>
    <w:rsid w:val="00703FFA"/>
    <w:rsid w:val="0085405F"/>
    <w:rsid w:val="00CA2B55"/>
    <w:rsid w:val="00CB23D6"/>
    <w:rsid w:val="00D81AC7"/>
    <w:rsid w:val="00F74202"/>
    <w:rsid w:val="00FC67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3F041C"/>
  <w15:chartTrackingRefBased/>
  <w15:docId w15:val="{D4342A94-6AED-4374-8242-285D8CC495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KE" w:eastAsia="en-US" w:bidi="ar-SA"/>
        <w14:ligatures w14:val="standardContextual"/>
      </w:rPr>
    </w:rPrDefault>
    <w:pPrDefault>
      <w:pPr>
        <w:ind w:left="714" w:hanging="35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21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21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21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21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21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21B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21B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21B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21B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21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21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21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21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21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21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21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21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21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21B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21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21B4"/>
    <w:pPr>
      <w:numPr>
        <w:ilvl w:val="1"/>
      </w:numPr>
      <w:spacing w:after="160"/>
      <w:ind w:left="714" w:hanging="357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21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21B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21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21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21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21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21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21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package" Target="embeddings/Microsoft_Excel_Worksheet.xlsx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170</TotalTime>
  <Pages>1</Pages>
  <Words>369</Words>
  <Characters>2109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Cooperative Bank of Kenya</Company>
  <LinksUpToDate>false</LinksUpToDate>
  <CharactersWithSpaces>2474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Kelvin Omucheyi [Internal Audit]</dc:creator>
  <cp:keywords/>
  <dc:description/>
  <cp:lastModifiedBy>Kelvin Omucheyi [Internal Audit]</cp:lastModifiedBy>
  <cp:revision>4</cp:revision>
  <cp:lastPrinted>2026-10-15T18:05:00Z</cp:lastPrinted>
  <dcterms:created xsi:type="dcterms:W3CDTF">2026-10-14T19:26:00Z</dcterms:created>
  <dcterms:modified xsi:type="dcterms:W3CDTF">2026-10-15T18:15:00Z</dcterms:modified>
</cp:coreProperties>
</file>