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11C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宋体" w:cs="Times New Roman"/>
          <w:b/>
          <w:bCs/>
          <w:sz w:val="40"/>
          <w:szCs w:val="40"/>
        </w:rPr>
        <w:t>Result Analysis</w:t>
      </w:r>
    </w:p>
    <w:p w14:paraId="78B9B45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/>
          <w:bCs/>
          <w:sz w:val="28"/>
          <w:szCs w:val="28"/>
        </w:rPr>
      </w:pPr>
      <w:r>
        <w:rPr>
          <w:rFonts w:hint="default" w:eastAsia="宋体" w:cs="宋体" w:asciiTheme="minorAscii" w:hAnsiTheme="minorAscii"/>
          <w:b/>
          <w:bCs/>
          <w:sz w:val="28"/>
          <w:szCs w:val="28"/>
        </w:rPr>
        <w:t>Communication Analysis – Attention Consistency</w:t>
      </w:r>
    </w:p>
    <w:p w14:paraId="3CC8D34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 xml:space="preserve">This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Figure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 xml:space="preserve">is a 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>Histogram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 xml:space="preserve">. 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The x-axis represents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Attention Weight Entropy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(degree of attention distribution among agents).The y-axis shows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Frequency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(how many times a certain entropy value occurred).</w:t>
      </w:r>
    </w:p>
    <w:p w14:paraId="43CF779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Lower entropy values suggest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focused attention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(prioritizing a few neighbors), while higher entropy indicates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diffused attention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(treating neighbors equally).In this histogram, most entropy values are concentrated around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0.68–0.69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, indicating that the agents’ attention is selective rather than random. This shows that the communication module of the improved RIAL encourages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targeted information sharing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instead of indiscriminate broadcasting.</w:t>
      </w:r>
    </w:p>
    <w:p w14:paraId="778FBAE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>The attention mechanism effectively enables agents to prioritize their communication, enhancing overall cooperation efficiency.</w:t>
      </w:r>
    </w:p>
    <w:p w14:paraId="39A3440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690" cy="3160395"/>
            <wp:effectExtent l="0" t="0" r="1270" b="2540"/>
            <wp:docPr id="2" name="图片 2" descr="attention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ttention_analys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206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</w:p>
    <w:p w14:paraId="683E4D0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</w:p>
    <w:p w14:paraId="7737EF6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b/>
          <w:bCs/>
          <w:sz w:val="28"/>
          <w:szCs w:val="28"/>
        </w:rPr>
        <w:t xml:space="preserve">Behavioral Metrics Comparison </w:t>
      </w:r>
    </w:p>
    <w:p w14:paraId="709701A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 xml:space="preserve">This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Figure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 xml:space="preserve">is a 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>Boxplot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The left box shows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Collisions per Episode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(red), and the right box shows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Average Inter-Agent Distance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(green).</w:t>
      </w:r>
    </w:p>
    <w:p w14:paraId="034BCF8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Collisions: Most episodes had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low collision counts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, but there are a few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outliers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where collisions were exceptionally high.</w:t>
      </w:r>
    </w:p>
    <w:p w14:paraId="790B028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Distances: The inter-agent distance remains relatively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stable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>, indicating that agents keep an efficient formation without drifting too far apart.</w:t>
      </w:r>
    </w:p>
    <w:p w14:paraId="218833C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>The improved RIAL successfully reduces unnecessary collisions while maintaining optimal team structure, benefiting the task performance.</w:t>
      </w:r>
    </w:p>
    <w:p w14:paraId="6241C33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690" cy="3160395"/>
            <wp:effectExtent l="0" t="0" r="1270" b="2540"/>
            <wp:docPr id="3" name="图片 3" descr="behavioral_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ehavioral_metric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517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</w:p>
    <w:p w14:paraId="5BC3AD9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</w:p>
    <w:p w14:paraId="4D5E2B9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b/>
          <w:bCs/>
          <w:sz w:val="28"/>
          <w:szCs w:val="28"/>
        </w:rPr>
        <w:t>Learning Curves Comparison</w:t>
      </w:r>
    </w:p>
    <w:p w14:paraId="20AA3EC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 xml:space="preserve">This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Figure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 xml:space="preserve">is a 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>Line Plot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The orange line represents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RIAL’s smoothed rewards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, and the blue line represents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DQN’s smoothed rewards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over episodes.</w:t>
      </w:r>
    </w:p>
    <w:p w14:paraId="35EAFC7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The RIAL curve consistently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outperforms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DQN throughout training, achieving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higher rewards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with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less fluctuation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.DQN’s curve remains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lower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and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more volatile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, indicating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slower learning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and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less stable behavior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>.</w:t>
      </w:r>
    </w:p>
    <w:p w14:paraId="09740D7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>The improved RIAL model demonstrates faster convergence and better stability compared to the traditional DQN approach.</w:t>
      </w:r>
    </w:p>
    <w:p w14:paraId="6FBDA42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690" cy="3160395"/>
            <wp:effectExtent l="0" t="0" r="1270" b="2540"/>
            <wp:docPr id="4" name="图片 4" descr="learning_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earning_curv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F90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</w:p>
    <w:p w14:paraId="46F5952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</w:p>
    <w:p w14:paraId="7063CB2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b/>
          <w:bCs/>
          <w:sz w:val="28"/>
          <w:szCs w:val="28"/>
        </w:rPr>
        <w:t>Reward Distribution Comparison</w:t>
      </w:r>
    </w:p>
    <w:p w14:paraId="7F48134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 xml:space="preserve">This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Figure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 xml:space="preserve">is a 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>Violin Plot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The orange violin shows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RIAL’s reward distribution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, and the blue violin shows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DQN’s reward distribution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>.</w:t>
      </w:r>
    </w:p>
    <w:p w14:paraId="778E2A5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RIAL’s distribution is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tighter and higher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, with most rewards clustered around better values.DQN’s distribution is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wider and lower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>, suggesting more variability and generally worse performance.</w:t>
      </w:r>
    </w:p>
    <w:p w14:paraId="7F0E86C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RIAL not only achieves higher rewards but also provides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more consistent outcomes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across episodes, while DQN’s performance is unstable.</w:t>
      </w:r>
    </w:p>
    <w:p w14:paraId="03F5F37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690" cy="3160395"/>
            <wp:effectExtent l="0" t="0" r="1270" b="2540"/>
            <wp:docPr id="5" name="图片 5" descr="reward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ward_distribu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9FF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</w:p>
    <w:p w14:paraId="0ED17AC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</w:p>
    <w:p w14:paraId="1426F33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b/>
          <w:bCs/>
          <w:sz w:val="28"/>
          <w:szCs w:val="28"/>
        </w:rPr>
        <w:t>Win/Draw Proportions</w:t>
      </w:r>
    </w:p>
    <w:p w14:paraId="4CB2859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 xml:space="preserve">This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Figure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 xml:space="preserve">is a 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>Pie Chart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t xml:space="preserve">. 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This pie chart shows the proportion of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RIAL wins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,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DQN wins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, and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draws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across evaluation episodes.</w:t>
      </w:r>
    </w:p>
    <w:p w14:paraId="15C937E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The chart shows that </w:t>
      </w:r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RIAL achieved 100% win</w:t>
      </w:r>
      <w:bookmarkStart w:id="0" w:name="_GoBack"/>
      <w:bookmarkEnd w:id="0"/>
      <w:r>
        <w:rPr>
          <w:rStyle w:val="7"/>
          <w:rFonts w:hint="default" w:eastAsia="宋体" w:cs="宋体" w:asciiTheme="minorAscii" w:hAnsiTheme="minorAscii"/>
          <w:b w:val="0"/>
          <w:bCs w:val="0"/>
          <w:sz w:val="24"/>
          <w:szCs w:val="24"/>
        </w:rPr>
        <w:t>s</w:t>
      </w: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 xml:space="preserve"> against DQN in the experiments, without any draws or DQN victories.</w:t>
      </w:r>
    </w:p>
    <w:p w14:paraId="1D18C5A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</w:rPr>
        <w:t>RIAL consistently outperformed DQN across all evaluated scenarios, further confirming its superiority in multi-agent settings.</w:t>
      </w:r>
    </w:p>
    <w:p w14:paraId="4CAA7C0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5274310"/>
            <wp:effectExtent l="0" t="0" r="4445" b="4445"/>
            <wp:docPr id="6" name="图片 6" descr="win_r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in_rat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2520B"/>
    <w:multiLevelType w:val="singleLevel"/>
    <w:tmpl w:val="808252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A2945"/>
    <w:rsid w:val="5C2A2945"/>
    <w:rsid w:val="6A07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259</Words>
  <Characters>1336</Characters>
  <Lines>0</Lines>
  <Paragraphs>0</Paragraphs>
  <TotalTime>10</TotalTime>
  <ScaleCrop>false</ScaleCrop>
  <LinksUpToDate>false</LinksUpToDate>
  <CharactersWithSpaces>1577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2025-04-23T00:52:00Z</dcterms:created>
  <dc:creator>辛波斯卡</dc:creator>
  <cp:lastModifiedBy>辛波斯卡</cp:lastModifiedBy>
  <dcterms:modified xsi:type="dcterms:W3CDTF">2025-04-28T05:29:28Z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80BE3D1B856B4ACFA40B88312926095A_11</vt:lpwstr>
  </property>
  <property fmtid="{D5CDD505-2E9C-101B-9397-08002B2CF9AE}" pid="4" name="KSOTemplateDocerSaveRecord">
    <vt:lpwstr>eyJoZGlkIjoiMmM0ODAyMTI2YjU2ODM3MDk4MGZmNDViMjlkMWY1MzgiLCJ1c2VySWQiOiI0MTg0NzQ3MTcifQ==</vt:lpwstr>
  </property>
</Properties>
</file>