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5A88"/>
          <w:sz w:val="34"/>
          <w:szCs w:val="34"/>
        </w:rPr>
        <w:t xml:space="preserve">Choix techniques justifiés</w:t>
      </w:r>
    </w:p>
    <w:p>
      <w:pPr>
        <w:pBdr>
          <w:bottom w:val="single" w:color="2E5A88" w:sz="6" w:space="8"/>
        </w:pBdr>
        <w:spacing w:after="200"/>
        <w:jc w:val="center"/>
      </w:pPr>
      <w:r>
        <w:rPr>
          <w:color w:val="3A4250"/>
          <w:sz w:val="22"/>
          <w:szCs w:val="22"/>
        </w:rPr>
        <w:t xml:space="preserve">Application de collecte de feedbacks sur les modules de formation</w:t>
      </w:r>
    </w:p>
    <w:p>
      <w:pPr>
        <w:pStyle w:val="Heading1"/>
      </w:pPr>
      <w:r>
        <w:t xml:space="preserve">1. Critères de choix</w:t>
      </w:r>
    </w:p>
    <w:p>
      <w:pPr>
        <w:spacing w:after="120" w:line="280"/>
      </w:pPr>
      <w:r>
        <w:t xml:space="preserve">Le choix de la pile technique a été guidé par les contraintes du projet et le contexte de l'organisation :</w:t>
      </w:r>
    </w:p>
    <w:p>
      <w:pPr>
        <w:pStyle w:val="ListParagraph"/>
        <w:numPr>
          <w:ilvl w:val="0"/>
          <w:numId w:val="2"/>
        </w:numPr>
        <w:spacing w:after="60" w:line="276"/>
      </w:pPr>
      <w:r>
        <w:rPr>
          <w:b/>
          <w:bCs/>
        </w:rPr>
        <w:t xml:space="preserve">Réutilisation des compétences : </w:t>
      </w:r>
      <w:r>
        <w:t xml:space="preserve">la plateforme externe est déjà développée en Java et React ; rester dans cette famille réduit les coûts de montée en compétence et de maintenance.</w:t>
      </w:r>
    </w:p>
    <w:p>
      <w:pPr>
        <w:pStyle w:val="ListParagraph"/>
        <w:numPr>
          <w:ilvl w:val="0"/>
          <w:numId w:val="2"/>
        </w:numPr>
        <w:spacing w:after="60" w:line="276"/>
      </w:pPr>
      <w:r>
        <w:rPr>
          <w:b/>
          <w:bCs/>
        </w:rPr>
        <w:t xml:space="preserve">Maturité et pérennité : </w:t>
      </w:r>
      <w:r>
        <w:t xml:space="preserve">privilégier des technologies éprouvées, soutenues et encore supportées (les versions en fin de support sont écartées).</w:t>
      </w:r>
    </w:p>
    <w:p>
      <w:pPr>
        <w:pStyle w:val="ListParagraph"/>
        <w:numPr>
          <w:ilvl w:val="0"/>
          <w:numId w:val="2"/>
        </w:numPr>
        <w:spacing w:after="60" w:line="276"/>
      </w:pPr>
      <w:r>
        <w:rPr>
          <w:b/>
          <w:bCs/>
        </w:rPr>
        <w:t xml:space="preserve">Sécurité et contrôle d'accès : </w:t>
      </w:r>
      <w:r>
        <w:t xml:space="preserve">authentification robuste et restriction des données selon le rôle (RF-FB-07).</w:t>
      </w:r>
    </w:p>
    <w:p>
      <w:pPr>
        <w:pStyle w:val="ListParagraph"/>
        <w:numPr>
          <w:ilvl w:val="0"/>
          <w:numId w:val="2"/>
        </w:numPr>
        <w:spacing w:after="60" w:line="276"/>
      </w:pPr>
      <w:r>
        <w:rPr>
          <w:b/>
          <w:bCs/>
        </w:rPr>
        <w:t xml:space="preserve">Intégration REST/JSON : </w:t>
      </w:r>
      <w:r>
        <w:t xml:space="preserve">les deux applications échangent exclusivement par webservices REST.</w:t>
      </w:r>
    </w:p>
    <w:p>
      <w:pPr>
        <w:pStyle w:val="ListParagraph"/>
        <w:numPr>
          <w:ilvl w:val="0"/>
          <w:numId w:val="2"/>
        </w:numPr>
        <w:spacing w:after="60" w:line="276"/>
      </w:pPr>
      <w:r>
        <w:rPr>
          <w:b/>
          <w:bCs/>
        </w:rPr>
        <w:t xml:space="preserve">Conformité RGPD et performance : </w:t>
      </w:r>
      <w:r>
        <w:t xml:space="preserve">protection des données personnelles, temps de réponse inférieur à 2 s, scalabilité.</w:t>
      </w:r>
    </w:p>
    <w:p>
      <w:pPr>
        <w:pStyle w:val="Heading1"/>
      </w:pPr>
      <w:r>
        <w:t xml:space="preserve">2. Pile technique retenue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60"/>
        <w:gridCol w:w="4000"/>
      </w:tblGrid>
      <w:tr>
        <w:trPr>
          <w:tblHeader/>
        </w:trPr>
        <w:tc>
          <w:tcPr>
            <w:tcW w:type="dxa" w:w="230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vAlign w:val="center"/>
          </w:tcPr>
          <w:p>
            <w:r>
              <w:rPr>
                <w:b/>
                <w:bCs/>
                <w:color w:val="FFFFFF"/>
                <w:sz w:val="20"/>
                <w:szCs w:val="20"/>
              </w:rPr>
              <w:t xml:space="preserve">Couche</w:t>
            </w:r>
          </w:p>
        </w:tc>
        <w:tc>
          <w:tcPr>
            <w:tcW w:type="dxa" w:w="306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vAlign w:val="center"/>
          </w:tcPr>
          <w:p>
            <w:r>
              <w:rPr>
                <w:b/>
                <w:bCs/>
                <w:color w:val="FFFFFF"/>
                <w:sz w:val="20"/>
                <w:szCs w:val="20"/>
              </w:rPr>
              <w:t xml:space="preserve">Technologie</w:t>
            </w:r>
          </w:p>
        </w:tc>
        <w:tc>
          <w:tcPr>
            <w:tcW w:type="dxa" w:w="400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vAlign w:val="center"/>
          </w:tcPr>
          <w:p>
            <w:r>
              <w:rPr>
                <w:b/>
                <w:bCs/>
                <w:color w:val="FFFFFF"/>
                <w:sz w:val="20"/>
                <w:szCs w:val="20"/>
              </w:rPr>
              <w:t xml:space="preserve">Justification</w:t>
            </w:r>
          </w:p>
        </w:tc>
      </w:tr>
      <w:tr>
        <w:tc>
          <w:tcPr>
            <w:tcW w:type="dxa" w:w="23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b/>
                <w:bCs/>
                <w:sz w:val="20"/>
                <w:szCs w:val="20"/>
              </w:rPr>
              <w:t xml:space="preserve">Langage / runtime</w:t>
            </w:r>
          </w:p>
        </w:tc>
        <w:tc>
          <w:tcPr>
            <w:tcW w:type="dxa" w:w="30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Java 21 (LTS)</w:t>
            </w:r>
          </w:p>
        </w:tc>
        <w:tc>
          <w:tcPr>
            <w:tcW w:type="dxa" w:w="40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Version à support long, adaptée à un nouveau projet ; cohérente avec Spring Boot 4.</w:t>
            </w:r>
          </w:p>
        </w:tc>
      </w:tr>
      <w:tr>
        <w:tc>
          <w:tcPr>
            <w:tcW w:type="dxa" w:w="230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b/>
                <w:bCs/>
                <w:sz w:val="20"/>
                <w:szCs w:val="20"/>
              </w:rPr>
              <w:t xml:space="preserve">Backend</w:t>
            </w:r>
          </w:p>
        </w:tc>
        <w:tc>
          <w:tcPr>
            <w:tcW w:type="dxa" w:w="306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sz w:val="20"/>
                <w:szCs w:val="20"/>
              </w:rPr>
              <w:t xml:space="preserve">Spring Boot 4.0.7</w:t>
            </w:r>
          </w:p>
        </w:tc>
        <w:tc>
          <w:tcPr>
            <w:tcW w:type="dxa" w:w="400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sz w:val="20"/>
                <w:szCs w:val="20"/>
              </w:rPr>
              <w:t xml:space="preserve">Version supportée bâtie sur Spring Framework 7 ; REST mature ; réutilise les compétences Java.</w:t>
            </w:r>
          </w:p>
        </w:tc>
      </w:tr>
      <w:tr>
        <w:tc>
          <w:tcPr>
            <w:tcW w:type="dxa" w:w="23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b/>
                <w:bCs/>
                <w:sz w:val="20"/>
                <w:szCs w:val="20"/>
              </w:rPr>
              <w:t xml:space="preserve">Frontend</w:t>
            </w:r>
          </w:p>
        </w:tc>
        <w:tc>
          <w:tcPr>
            <w:tcW w:type="dxa" w:w="30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React + TypeScript</w:t>
            </w:r>
          </w:p>
        </w:tc>
        <w:tc>
          <w:tcPr>
            <w:tcW w:type="dxa" w:w="40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Réutilise les compétences React ; adapté au formulaire dynamique et au tableau de bord.</w:t>
            </w:r>
          </w:p>
        </w:tc>
      </w:tr>
      <w:tr>
        <w:tc>
          <w:tcPr>
            <w:tcW w:type="dxa" w:w="230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b/>
                <w:bCs/>
                <w:sz w:val="20"/>
                <w:szCs w:val="20"/>
              </w:rPr>
              <w:t xml:space="preserve">Base de données</w:t>
            </w:r>
          </w:p>
        </w:tc>
        <w:tc>
          <w:tcPr>
            <w:tcW w:type="dxa" w:w="306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sz w:val="20"/>
                <w:szCs w:val="20"/>
              </w:rPr>
              <w:t xml:space="preserve">PostgreSQL</w:t>
            </w:r>
          </w:p>
        </w:tc>
        <w:tc>
          <w:tcPr>
            <w:tcW w:type="dxa" w:w="400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sz w:val="20"/>
                <w:szCs w:val="20"/>
              </w:rPr>
              <w:t xml:space="preserve">Intégrité relationnelle, contraintes d'unicité (RF-FB-03), type JSONB pour les payloads d'intégration.</w:t>
            </w:r>
          </w:p>
        </w:tc>
      </w:tr>
      <w:tr>
        <w:tc>
          <w:tcPr>
            <w:tcW w:type="dxa" w:w="23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b/>
                <w:bCs/>
                <w:sz w:val="20"/>
                <w:szCs w:val="20"/>
              </w:rPr>
              <w:t xml:space="preserve">Sécurité</w:t>
            </w:r>
          </w:p>
        </w:tc>
        <w:tc>
          <w:tcPr>
            <w:tcW w:type="dxa" w:w="30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Spring Security 7 (JWT)</w:t>
            </w:r>
          </w:p>
        </w:tc>
        <w:tc>
          <w:tcPr>
            <w:tcW w:type="dxa" w:w="40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Authentification par jeton et autorisation par rôle (RF-FB-07) ; voir section 4.</w:t>
            </w:r>
          </w:p>
        </w:tc>
      </w:tr>
      <w:tr>
        <w:tc>
          <w:tcPr>
            <w:tcW w:type="dxa" w:w="230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b/>
                <w:bCs/>
                <w:sz w:val="20"/>
                <w:szCs w:val="20"/>
              </w:rPr>
              <w:t xml:space="preserve">Notifications</w:t>
            </w:r>
          </w:p>
        </w:tc>
        <w:tc>
          <w:tcPr>
            <w:tcW w:type="dxa" w:w="306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sz w:val="20"/>
                <w:szCs w:val="20"/>
              </w:rPr>
              <w:t xml:space="preserve">SMTP / fournisseur d'envoi</w:t>
            </w:r>
          </w:p>
        </w:tc>
        <w:tc>
          <w:tcPr>
            <w:tcW w:type="dxa" w:w="400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sz w:val="20"/>
                <w:szCs w:val="20"/>
              </w:rPr>
              <w:t xml:space="preserve">Envoi des emails et suivi du statut (envoyé, lu).</w:t>
            </w:r>
          </w:p>
        </w:tc>
      </w:tr>
      <w:tr>
        <w:tc>
          <w:tcPr>
            <w:tcW w:type="dxa" w:w="23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b/>
                <w:bCs/>
                <w:sz w:val="20"/>
                <w:szCs w:val="20"/>
              </w:rPr>
              <w:t xml:space="preserve">Ordonnancement</w:t>
            </w:r>
          </w:p>
        </w:tc>
        <w:tc>
          <w:tcPr>
            <w:tcW w:type="dxa" w:w="30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Planificateur Spring</w:t>
            </w:r>
          </w:p>
        </w:tc>
        <w:tc>
          <w:tcPr>
            <w:tcW w:type="dxa" w:w="40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Relances automatiques après délai configurable (RF-FB-06).</w:t>
            </w:r>
          </w:p>
        </w:tc>
      </w:tr>
      <w:tr>
        <w:tc>
          <w:tcPr>
            <w:tcW w:type="dxa" w:w="230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b/>
                <w:bCs/>
                <w:sz w:val="20"/>
                <w:szCs w:val="20"/>
              </w:rPr>
              <w:t xml:space="preserve">Déploiement</w:t>
            </w:r>
          </w:p>
        </w:tc>
        <w:tc>
          <w:tcPr>
            <w:tcW w:type="dxa" w:w="306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sz w:val="20"/>
                <w:szCs w:val="20"/>
              </w:rPr>
              <w:t xml:space="preserve">Docker</w:t>
            </w:r>
          </w:p>
        </w:tc>
        <w:tc>
          <w:tcPr>
            <w:tcW w:type="dxa" w:w="400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sz w:val="20"/>
                <w:szCs w:val="20"/>
              </w:rPr>
              <w:t xml:space="preserve">Conteneurisation pour la portabilité, la scalabilité et la disponibilité.</w:t>
            </w:r>
          </w:p>
        </w:tc>
      </w:tr>
    </w:tbl>
    <w:p>
      <w:pPr>
        <w:pStyle w:val="Heading1"/>
        <w:pageBreakBefore/>
      </w:pPr>
      <w:r>
        <w:t xml:space="preserve">3. La décision clé : Java/Spring ou Node/NestJS</w:t>
      </w:r>
    </w:p>
    <w:p>
      <w:pPr>
        <w:spacing w:after="120" w:line="280"/>
      </w:pPr>
      <w:r>
        <w:t xml:space="preserve">Le seul véritable arbitrage concerne le langage du backend. Les deux options sont solides ; le choix dépend des compétences de l'équipe :</w:t>
      </w:r>
    </w:p>
    <w:p>
      <w:pPr>
        <w:pStyle w:val="ListParagraph"/>
        <w:numPr>
          <w:ilvl w:val="0"/>
          <w:numId w:val="2"/>
        </w:numPr>
        <w:spacing w:after="60" w:line="276"/>
      </w:pPr>
      <w:r>
        <w:rPr>
          <w:b/>
          <w:bCs/>
        </w:rPr>
        <w:t xml:space="preserve">Java / Spring Boot (retenu) : </w:t>
      </w:r>
      <w:r>
        <w:t xml:space="preserve">réutilise l'écosystème déjà en place côté plateforme externe, framework très mature, idéal pour un système d'information d'entreprise.</w:t>
      </w:r>
    </w:p>
    <w:p>
      <w:pPr>
        <w:pStyle w:val="ListParagraph"/>
        <w:numPr>
          <w:ilvl w:val="0"/>
          <w:numId w:val="2"/>
        </w:numPr>
        <w:spacing w:after="60" w:line="276"/>
      </w:pPr>
      <w:r>
        <w:rPr>
          <w:b/>
          <w:bCs/>
        </w:rPr>
        <w:t xml:space="preserve">Node.js / NestJS : </w:t>
      </w:r>
      <w:r>
        <w:t xml:space="preserve">un seul langage (TypeScript) du front au back, intéressant si l'équipe est davantage orientée JavaScript.</w:t>
      </w:r>
    </w:p>
    <w:p>
      <w:pPr>
        <w:spacing w:after="120" w:line="280"/>
      </w:pPr>
      <w:r>
        <w:rPr>
          <w:b/>
          <w:bCs/>
        </w:rPr>
        <w:t xml:space="preserve">Décision : </w:t>
      </w:r>
      <w:r>
        <w:t xml:space="preserve">Java 21 + Spring Boot 4.0.7, pour capitaliser sur les compétences existantes et limiter les risques. Le reste de la pile (PostgreSQL, React, conteneurisation) est identique dans les deux cas.</w:t>
      </w:r>
    </w:p>
    <w:p>
      <w:pPr>
        <w:pStyle w:val="Heading1"/>
      </w:pPr>
      <w:r>
        <w:t xml:space="preserve">4. Authentification et autorisation</w:t>
      </w:r>
    </w:p>
    <w:p>
      <w:pPr>
        <w:spacing w:after="120" w:line="280"/>
      </w:pPr>
      <w:r>
        <w:t xml:space="preserve">Deux notions distinctes sont à séparer : l'authentification (prouver qui est l'utilisateur) et l'autorisation (contrôler ce qu'il a le droit de voir et de faire). Le JWT répond à la première, la règle RF-FB-07 à la seconde.</w:t>
      </w:r>
    </w:p>
    <w:p>
      <w:pPr>
        <w:pStyle w:val="Heading2"/>
      </w:pPr>
      <w:r>
        <w:t xml:space="preserve">4.1 Authentification (JWT)</w:t>
      </w:r>
    </w:p>
    <w:p>
      <w:pPr>
        <w:spacing w:after="120" w:line="280"/>
      </w:pPr>
      <w:r>
        <w:t xml:space="preserve">L'authentification est gérée par l'application elle-même, sans fournisseur d'identité externe. L'utilisateur se connecte avec son email et son mot de passe, vérifiés dans la base ; le mot de passe est stocké haché (bcrypt). En cas de succès, le serveur émet un jeton JWT signé portant l'identifiant et le rôle de l'utilisateur. Le frontend transmet ce jeton à chaque requête (en-tête Authorization), et le backend en valide la signature sans conserver d'état serveur.</w:t>
      </w:r>
    </w:p>
    <w:p>
      <w:pPr>
        <w:spacing w:after="120" w:line="280"/>
      </w:pPr>
      <w:r>
        <w:rPr>
          <w:b/>
          <w:bCs/>
        </w:rPr>
        <w:t xml:space="preserve">Points de vigilance : </w:t>
      </w:r>
      <w:r>
        <w:t xml:space="preserve">stockage du jeton côté navigateur (compromis entre XSS et CSRF), durée de vie courte du jeton d'accès complétée par un jeton de rafraîchissement, et révocation limitée par nature (atténuée par une expiration courte). Le jeton est géré via une bibliothèque éprouvée, sans réimplémentation maison.</w:t>
      </w:r>
    </w:p>
    <w:p>
      <w:pPr>
        <w:pStyle w:val="Heading2"/>
      </w:pPr>
      <w:r>
        <w:t xml:space="preserve">4.2 Autorisation par rôle (RF-FB-07)</w:t>
      </w:r>
    </w:p>
    <w:p>
      <w:pPr>
        <w:spacing w:after="120" w:line="280"/>
      </w:pPr>
      <w:r>
        <w:t xml:space="preserve">Le rôle, porté par le jeton, est converti en autorité Spring Security. Le contrôle d'accès s'applique au niveau des routes et des méthodes, mais surtout au niveau de la couche service pour le cloisonnement des données : un manager ne voit que les feedbacks de son périmètre. Cette restriction est appliquée côté serveur, jamais uniquement dans l'interface, afin qu'un appel direct à l'API ne puisse pas la contourner.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vAlign w:val="center"/>
          </w:tcPr>
          <w:p>
            <w:r>
              <w:rPr>
                <w:b/>
                <w:bCs/>
                <w:color w:val="FFFFFF"/>
                <w:sz w:val="20"/>
                <w:szCs w:val="20"/>
              </w:rPr>
              <w:t xml:space="preserve">Rôle</w:t>
            </w:r>
          </w:p>
        </w:tc>
        <w:tc>
          <w:tcPr>
            <w:tcW w:type="dxa" w:w="676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vAlign w:val="center"/>
          </w:tcPr>
          <w:p>
            <w:r>
              <w:rPr>
                <w:b/>
                <w:bCs/>
                <w:color w:val="FFFFFF"/>
                <w:sz w:val="20"/>
                <w:szCs w:val="20"/>
              </w:rPr>
              <w:t xml:space="preserve">Accès et périmètre</w:t>
            </w:r>
          </w:p>
        </w:tc>
      </w:tr>
      <w:tr>
        <w:tc>
          <w:tcPr>
            <w:tcW w:type="dxa" w:w="26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COLLABORATOR</w:t>
            </w:r>
          </w:p>
        </w:tc>
        <w:tc>
          <w:tcPr>
            <w:tcW w:type="dxa" w:w="67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Uniquement ses propres modules complétés et ses propres feedbacks ; saisie du feedback.</w:t>
            </w:r>
          </w:p>
        </w:tc>
      </w:tr>
      <w:tr>
        <w:tc>
          <w:tcPr>
            <w:tcW w:type="dxa" w:w="260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sz w:val="20"/>
                <w:szCs w:val="20"/>
              </w:rPr>
              <w:t xml:space="preserve">MANAGER / RH</w:t>
            </w:r>
          </w:p>
        </w:tc>
        <w:tc>
          <w:tcPr>
            <w:tcW w:type="dxa" w:w="676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sz w:val="20"/>
                <w:szCs w:val="20"/>
              </w:rPr>
              <w:t xml:space="preserve">Consultation des feedbacks et du tableau de bord, limités à son périmètre (ex. département) ; déclenchement des relances.</w:t>
            </w:r>
          </w:p>
        </w:tc>
      </w:tr>
      <w:tr>
        <w:tc>
          <w:tcPr>
            <w:tcW w:type="dxa" w:w="26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ADMIN</w:t>
            </w:r>
          </w:p>
        </w:tc>
        <w:tc>
          <w:tcPr>
            <w:tcW w:type="dxa" w:w="67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Accès complet : gestion des utilisateurs, administration des questions, journal des intégrations, supervision.</w:t>
            </w:r>
          </w:p>
        </w:tc>
      </w:tr>
    </w:tbl>
    <w:p>
      <w:pPr>
        <w:spacing w:after="120" w:line="280"/>
      </w:pPr>
      <w:r>
        <w:rPr>
          <w:b/>
          <w:bCs/>
        </w:rPr>
        <w:t xml:space="preserve">Principe de conception : </w:t>
      </w:r>
      <w:r>
        <w:t xml:space="preserve">les rôles et les règles d'autorisation sont indépendants du mode d'authentification. Le rôle est le pivot ; le JWT n'est que son véhicule actuel. Une évolution vers OIDC/SSO en production serait donc possible sans modifier la logique métier.</w:t>
      </w:r>
    </w:p>
    <w:p>
      <w:pPr>
        <w:pStyle w:val="Heading1"/>
        <w:pageBreakBefore/>
      </w:pPr>
      <w:r>
        <w:t xml:space="preserve">5. Correspondance avec les exigences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vAlign w:val="center"/>
          </w:tcPr>
          <w:p>
            <w:r>
              <w:rPr>
                <w:b/>
                <w:bCs/>
                <w:color w:val="FFFFFF"/>
                <w:sz w:val="20"/>
                <w:szCs w:val="20"/>
              </w:rPr>
              <w:t xml:space="preserve">Exigence</w:t>
            </w:r>
          </w:p>
        </w:tc>
        <w:tc>
          <w:tcPr>
            <w:tcW w:type="dxa" w:w="576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vAlign w:val="center"/>
          </w:tcPr>
          <w:p>
            <w:r>
              <w:rPr>
                <w:b/>
                <w:bCs/>
                <w:color w:val="FFFFFF"/>
                <w:sz w:val="20"/>
                <w:szCs w:val="20"/>
              </w:rPr>
              <w:t xml:space="preserve">Réponse technique</w:t>
            </w:r>
          </w:p>
        </w:tc>
      </w:tr>
      <w:tr>
        <w:tc>
          <w:tcPr>
            <w:tcW w:type="dxa" w:w="36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Sécurité et rôles (RF-FB-07)</w:t>
            </w:r>
          </w:p>
        </w:tc>
        <w:tc>
          <w:tcPr>
            <w:tcW w:type="dxa" w:w="57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Authentification JWT (Spring Security) ; autorisation par rôle aux niveaux route et méthode, cloisonnement des données dans la couche service.</w:t>
            </w:r>
          </w:p>
        </w:tc>
      </w:tr>
      <w:tr>
        <w:tc>
          <w:tcPr>
            <w:tcW w:type="dxa" w:w="360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sz w:val="20"/>
                <w:szCs w:val="20"/>
              </w:rPr>
              <w:t xml:space="preserve">Temps de réponse &lt; 2 s, scalabilité</w:t>
            </w:r>
          </w:p>
        </w:tc>
        <w:tc>
          <w:tcPr>
            <w:tcW w:type="dxa" w:w="576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sz w:val="20"/>
                <w:szCs w:val="20"/>
              </w:rPr>
              <w:t xml:space="preserve">Backend sans état (JWT), pool de connexions, cache optionnel pour le tableau de bord.</w:t>
            </w:r>
          </w:p>
        </w:tc>
      </w:tr>
      <w:tr>
        <w:tc>
          <w:tcPr>
            <w:tcW w:type="dxa" w:w="36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Intégration et gestion d'erreurs</w:t>
            </w:r>
          </w:p>
        </w:tc>
        <w:tc>
          <w:tcPr>
            <w:tcW w:type="dxa" w:w="57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Client REST avec délais et reprises ; journalisation dans la table des logs.</w:t>
            </w:r>
          </w:p>
        </w:tc>
      </w:tr>
      <w:tr>
        <w:tc>
          <w:tcPr>
            <w:tcW w:type="dxa" w:w="360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sz w:val="20"/>
                <w:szCs w:val="20"/>
              </w:rPr>
              <w:t xml:space="preserve">Historisation (RF-FB-09)</w:t>
            </w:r>
          </w:p>
        </w:tc>
        <w:tc>
          <w:tcPr>
            <w:tcW w:type="dxa" w:w="5760"/>
            <w:tcBorders>
              <w:top w:val="single" w:color="BBBBBB" w:sz="1"/>
              <w:left w:val="single" w:color="BBBBBB" w:sz="1"/>
              <w:bottom w:val="single" w:color="BBBBBB" w:sz="1"/>
              <w:right w:val="single" w:color="BBBBBB" w:sz="1"/>
            </w:tcBorders>
            <w:shd w:fill="F4F6F9" w:val="clear"/>
            <w:tcMar>
              <w:top w:type="dxa" w:w="70"/>
              <w:left w:type="dxa" w:w="120"/>
              <w:bottom w:type="dxa" w:w="70"/>
              <w:right w:type="dxa" w:w="120"/>
            </w:tcMar>
            <w:vAlign w:val="center"/>
          </w:tcPr>
          <w:p>
            <w:r>
              <w:rPr>
                <w:sz w:val="20"/>
                <w:szCs w:val="20"/>
              </w:rPr>
              <w:t xml:space="preserve">Traçabilité des actions au niveau applicatif et base de données.</w:t>
            </w:r>
          </w:p>
        </w:tc>
      </w:tr>
      <w:tr>
        <w:tc>
          <w:tcPr>
            <w:tcW w:type="dxa" w:w="360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RGPD</w:t>
            </w:r>
          </w:p>
        </w:tc>
        <w:tc>
          <w:tcPr>
            <w:tcW w:type="dxa" w:w="5760"/>
            <w:tcBorders>
              <w:top w:val="single" w:color="BBBBBB" w:sz="1"/>
              <w:left w:val="single" w:color="BBBBBB" w:sz="1"/>
              <w:bottom w:val="single" w:color="BBBBBB" w:sz="1"/>
              <w:right w:val="single" w:color="BBBBBB" w:sz="1"/>
            </w:tcBorders>
            <w:tcMar>
              <w:top w:type="dxa" w:w="70"/>
              <w:left w:type="dxa" w:w="120"/>
              <w:bottom w:type="dxa" w:w="70"/>
              <w:right w:type="dxa" w:w="120"/>
            </w:tcMar>
            <w:vAlign w:val="center"/>
          </w:tcPr>
          <w:p>
            <w:r>
              <w:rPr>
                <w:sz w:val="20"/>
                <w:szCs w:val="20"/>
              </w:rPr>
              <w:t xml:space="preserve">HTTPS/TLS, mot de passe haché, chiffrement au repos, accès restreint par rôle, politique de conservation.</w:t>
            </w:r>
          </w:p>
        </w:tc>
      </w:tr>
    </w:tbl>
    <w:p>
      <w:pPr>
        <w:pStyle w:val="Heading1"/>
      </w:pPr>
      <w:r>
        <w:t xml:space="preserve">6. Approche progressive</w:t>
      </w:r>
    </w:p>
    <w:p>
      <w:pPr>
        <w:spacing w:after="120" w:line="280"/>
      </w:pPr>
      <w:r>
        <w:t xml:space="preserve">La pile complète décrite ci-dessus est la cible de production. Pour démarrer, une version allégée suffit et évite de sur-construire : Java 21, Spring Boot 4.0.7, React, PostgreSQL, authentification JWT, envoi SMTP simple et planificateur intégré, déployés en un seul conteneur.</w:t>
      </w:r>
    </w:p>
    <w:p>
      <w:pPr>
        <w:spacing w:after="120" w:line="280"/>
      </w:pPr>
      <w:r>
        <w:t xml:space="preserve">Les composants plus lourds (cache distribué, fournisseur d'identité dédié pour OIDC/SSO, orchestration multi-instances) seront ajoutés uniquement lorsqu'un besoin réel apparaîtra : montée en charge, lenteurs mesurées du tableau de bord, ou exigence de SSO en production.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6"/>
        <w:szCs w:val="16"/>
      </w:rPr>
      <w:t xml:space="preserve">Choix techniques justifiés</w:t>
    </w:r>
    <w:r>
      <w:rPr>
        <w:color w:val="888888"/>
        <w:sz w:val="16"/>
        <w:szCs w:val="16"/>
      </w:rPr>
      <w:t xml:space="preserve">	26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5A88"/>
      <w:sz w:val="28"/>
      <w:szCs w:val="28"/>
    </w:rPr>
  </w:style>
  <w:style w:type="paragraph" w:styleId="Heading2">
    <w:name w:val="Heading 2"/>
    <w:basedOn w:val="Normal"/>
    <w:next w:val="Normal"/>
    <w:qFormat/>
    <w:pPr>
      <w:spacing w:after="80" w:before="160"/>
      <w:outlineLvl w:val="1"/>
    </w:pPr>
    <w:rPr>
      <w:rFonts w:ascii="Arial" w:cs="Arial" w:eastAsia="Arial" w:hAnsi="Arial"/>
      <w:b/>
      <w:bCs/>
      <w:color w:val="3A42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2026-06-29T10:07:06.048Z</dcterms:created>
  <dcterms:modified xsi:type="dcterms:W3CDTF">2026-06-29T10:07:06.071Z</dcterms:modified>
</cp:coreProperties>
</file>

<file path=docProps/custom.xml><?xml version="1.0" encoding="utf-8"?>
<Properties xmlns="http://schemas.openxmlformats.org/officeDocument/2006/custom-properties" xmlns:vt="http://schemas.openxmlformats.org/officeDocument/2006/docPropsVTypes"/>
</file>