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Calibri" w:cs="Calibri" w:eastAsia="Calibri" w:hAnsi="Calibri"/>
          <w:b/>
          <w:bCs/>
          <w:sz w:val="28"/>
          <w:szCs w:val="28"/>
        </w:rPr>
        <w:t xml:space="preserve">Constitution du jeu de règles gène–médicament : sources, méthode et résultats</w:t>
      </w:r>
    </w:p>
    <w:p>
      <w:pPr>
        <w:spacing w:after="120" w:line="276"/>
        <w:jc w:val="both"/>
      </w:pPr>
      <w:r>
        <w:rPr>
          <w:rFonts w:ascii="Calibri" w:cs="Calibri" w:eastAsia="Calibri" w:hAnsi="Calibri"/>
          <w:sz w:val="22"/>
          <w:szCs w:val="22"/>
        </w:rPr>
        <w:t xml:space="preserve">État au 16 octobre 2026. Ce texte décrit uniquement ce qui a été lu et vérifié ; les points non vérifiés sont signalés dans la section « Limites ».</w:t>
      </w:r>
    </w:p>
    <w:p>
      <w:pPr>
        <w:pStyle w:val="Heading2"/>
        <w:spacing w:after="90" w:before="180"/>
      </w:pPr>
      <w:r>
        <w:rPr>
          <w:rFonts w:ascii="Calibri" w:cs="Calibri" w:eastAsia="Calibri" w:hAnsi="Calibri"/>
          <w:b/>
          <w:bCs/>
          <w:sz w:val="24"/>
          <w:szCs w:val="24"/>
        </w:rPr>
        <w:t xml:space="preserve">1. Objectif et principes</w:t>
      </w:r>
    </w:p>
    <w:p>
      <w:pPr>
        <w:spacing w:after="120" w:line="276"/>
        <w:jc w:val="both"/>
      </w:pPr>
      <w:r>
        <w:rPr>
          <w:rFonts w:ascii="Calibri" w:cs="Calibri" w:eastAsia="Calibri" w:hAnsi="Calibri"/>
          <w:sz w:val="22"/>
          <w:szCs w:val="22"/>
        </w:rPr>
        <w:t xml:space="preserve">L’objectif est de disposer d’un tableau de règles reliant un gène (ou un allèle) et un phénotype à un médicament et à une consigne, chaque ligne renvoyant à l’annotation de guideline dont elle est tirée. Quatre principes ont été appliqués :</w:t>
      </w:r>
    </w:p>
    <w:p>
      <w:pPr>
        <w:pStyle w:val="ListParagraph"/>
        <w:numPr>
          <w:ilvl w:val="0"/>
          <w:numId w:val="2"/>
        </w:numPr>
        <w:spacing w:after="70" w:line="264"/>
      </w:pPr>
      <w:r>
        <w:rPr>
          <w:rFonts w:ascii="Calibri" w:cs="Calibri" w:eastAsia="Calibri" w:hAnsi="Calibri"/>
          <w:sz w:val="22"/>
          <w:szCs w:val="22"/>
        </w:rPr>
        <w:t xml:space="preserve">Aucune ligne n’est inventée : chaque règle est écrite d’après le texte d’une annotation PharmGKB/ClinPGx identifiée par son numéro (PA…) et un lien.</w:t>
      </w:r>
    </w:p>
    <w:p>
      <w:pPr>
        <w:pStyle w:val="ListParagraph"/>
        <w:numPr>
          <w:ilvl w:val="0"/>
          <w:numId w:val="2"/>
        </w:numPr>
        <w:spacing w:after="70" w:line="264"/>
      </w:pPr>
      <w:r>
        <w:rPr>
          <w:rFonts w:ascii="Calibri" w:cs="Calibri" w:eastAsia="Calibri" w:hAnsi="Calibri"/>
          <w:sz w:val="22"/>
          <w:szCs w:val="22"/>
        </w:rPr>
        <w:t xml:space="preserve">Aucune version antérieure n’est modifiée ni supprimée : les corrections sont enregistrées dans une nouvelle version, avec la correction notée.</w:t>
      </w:r>
    </w:p>
    <w:p>
      <w:pPr>
        <w:pStyle w:val="ListParagraph"/>
        <w:numPr>
          <w:ilvl w:val="0"/>
          <w:numId w:val="2"/>
        </w:numPr>
        <w:spacing w:after="70" w:line="264"/>
      </w:pPr>
      <w:r>
        <w:rPr>
          <w:rFonts w:ascii="Calibri" w:cs="Calibri" w:eastAsia="Calibri" w:hAnsi="Calibri"/>
          <w:sz w:val="22"/>
          <w:szCs w:val="22"/>
        </w:rPr>
        <w:t xml:space="preserve">Un génotype inconnu est classé « non déterminé » et n’est jamais remplacé par « standard ».</w:t>
      </w:r>
    </w:p>
    <w:p>
      <w:pPr>
        <w:pStyle w:val="ListParagraph"/>
        <w:numPr>
          <w:ilvl w:val="0"/>
          <w:numId w:val="2"/>
        </w:numPr>
        <w:spacing w:after="70" w:line="264"/>
      </w:pPr>
      <w:r>
        <w:rPr>
          <w:rFonts w:ascii="Calibri" w:cs="Calibri" w:eastAsia="Calibri" w:hAnsi="Calibri"/>
          <w:sz w:val="22"/>
          <w:szCs w:val="22"/>
        </w:rPr>
        <w:t xml:space="preserve">Les désaccords entre organisations (CPIC, DPWG, RNPGx, CPNDS, ACR, CFF) sont conservés tels quels et non arbitrés.</w:t>
      </w:r>
    </w:p>
    <w:p>
      <w:pPr>
        <w:spacing w:after="120" w:line="276"/>
        <w:jc w:val="both"/>
      </w:pPr>
      <w:r>
        <w:rPr>
          <w:rFonts w:ascii="Calibri" w:cs="Calibri" w:eastAsia="Calibri" w:hAnsi="Calibri"/>
          <w:sz w:val="22"/>
          <w:szCs w:val="22"/>
        </w:rPr>
        <w:t xml:space="preserve">La lecture et la saisie des règles ont été réalisées avec l’assistance de Claude (Anthropic). Toutes les règles sont donc au statut « candidate, à valider » tant qu’une seconde lecture humaine n’a pas été faite.</w:t>
      </w:r>
    </w:p>
    <w:p>
      <w:pPr>
        <w:pStyle w:val="Heading2"/>
        <w:spacing w:after="90" w:before="180"/>
      </w:pPr>
      <w:r>
        <w:rPr>
          <w:rFonts w:ascii="Calibri" w:cs="Calibri" w:eastAsia="Calibri" w:hAnsi="Calibri"/>
          <w:b/>
          <w:bCs/>
          <w:sz w:val="24"/>
          <w:szCs w:val="24"/>
        </w:rPr>
        <w:t xml:space="preserve">2. Sources</w:t>
      </w:r>
    </w:p>
    <w:p>
      <w:pPr>
        <w:pStyle w:val="ListParagraph"/>
        <w:numPr>
          <w:ilvl w:val="0"/>
          <w:numId w:val="2"/>
        </w:numPr>
        <w:spacing w:after="70" w:line="264"/>
      </w:pPr>
      <w:r>
        <w:rPr>
          <w:rFonts w:ascii="Calibri" w:cs="Calibri" w:eastAsia="Calibri" w:hAnsi="Calibri"/>
          <w:sz w:val="22"/>
          <w:szCs w:val="22"/>
        </w:rPr>
        <w:t xml:space="preserve">Registre de 1 126 médicaments construit pour le projet ; 76 médicaments sont étiquetés dans le corpus croisé v3 ; des guidelines existent pour 208 médicaments (217 annotations PharmGKB, dont CPIC, DPWG, RNPGx, CPNDS, ACR, CFF).</w:t>
      </w:r>
    </w:p>
    <w:p>
      <w:pPr>
        <w:pStyle w:val="ListParagraph"/>
        <w:numPr>
          <w:ilvl w:val="0"/>
          <w:numId w:val="2"/>
        </w:numPr>
        <w:spacing w:after="70" w:line="264"/>
      </w:pPr>
      <w:r>
        <w:rPr>
          <w:rFonts w:ascii="Calibri" w:cs="Calibri" w:eastAsia="Calibri" w:hAnsi="Calibri"/>
          <w:sz w:val="22"/>
          <w:szCs w:val="22"/>
        </w:rPr>
        <w:t xml:space="preserve">Liste de 50 gènes et 152 médicaments de Alshabeeb et al. 2022 (Front. Med. 9:1001876), utilisée comme point de départ et étendue par les guidelines.</w:t>
      </w:r>
    </w:p>
    <w:p>
      <w:pPr>
        <w:pStyle w:val="ListParagraph"/>
        <w:numPr>
          <w:ilvl w:val="0"/>
          <w:numId w:val="2"/>
        </w:numPr>
        <w:spacing w:after="70" w:line="264"/>
      </w:pPr>
      <w:r>
        <w:rPr>
          <w:rFonts w:ascii="Calibri" w:cs="Calibri" w:eastAsia="Calibri" w:hAnsi="Calibri"/>
          <w:sz w:val="22"/>
          <w:szCs w:val="22"/>
        </w:rPr>
        <w:t xml:space="preserve">Article CPIC G6PD 2022 (Gammal et al., Clin Pharmacol Ther 2023) pour les tableaux de risque et de force de recommandation.</w:t>
      </w:r>
    </w:p>
    <w:p>
      <w:pPr>
        <w:pStyle w:val="ListParagraph"/>
        <w:numPr>
          <w:ilvl w:val="0"/>
          <w:numId w:val="2"/>
        </w:numPr>
        <w:spacing w:after="70" w:line="264"/>
      </w:pPr>
      <w:r>
        <w:rPr>
          <w:rFonts w:ascii="Calibri" w:cs="Calibri" w:eastAsia="Calibri" w:hAnsi="Calibri"/>
          <w:sz w:val="22"/>
          <w:szCs w:val="22"/>
        </w:rPr>
        <w:t xml:space="preserve">Archive NCBI dbMHC pour les typages HLA publiés des profils 1000 Genomes.</w:t>
      </w:r>
    </w:p>
    <w:p>
      <w:pPr>
        <w:pStyle w:val="Heading2"/>
        <w:spacing w:after="90" w:before="180"/>
      </w:pPr>
      <w:r>
        <w:rPr>
          <w:rFonts w:ascii="Calibri" w:cs="Calibri" w:eastAsia="Calibri" w:hAnsi="Calibri"/>
          <w:b/>
          <w:bCs/>
          <w:sz w:val="24"/>
          <w:szCs w:val="24"/>
        </w:rPr>
        <w:t xml:space="preserve">3. Résultats</w:t>
      </w:r>
    </w:p>
    <w:p>
      <w:pPr>
        <w:spacing w:after="120" w:line="276"/>
        <w:jc w:val="both"/>
      </w:pPr>
      <w:r>
        <w:rPr>
          <w:rFonts w:ascii="Calibri" w:cs="Calibri" w:eastAsia="Calibri" w:hAnsi="Calibri"/>
          <w:sz w:val="22"/>
          <w:szCs w:val="22"/>
        </w:rPr>
        <w:t xml:space="preserve">Le tableau de règles v2 contient </w:t>
      </w:r>
      <w:r>
        <w:rPr>
          <w:rFonts w:ascii="Calibri" w:cs="Calibri" w:eastAsia="Calibri" w:hAnsi="Calibri"/>
          <w:b/>
          <w:bCs/>
          <w:sz w:val="22"/>
          <w:szCs w:val="22"/>
        </w:rPr>
        <w:t xml:space="preserve">393 règles pour 103 médicaments distincts</w:t>
      </w:r>
      <w:r>
        <w:rPr>
          <w:rFonts w:ascii="Calibri" w:cs="Calibri" w:eastAsia="Calibri" w:hAnsi="Calibri"/>
          <w:sz w:val="22"/>
          <w:szCs w:val="22"/>
        </w:rPr>
        <w:t xml:space="preserve"> ; les 103 figurent dans le registre. Un médicament peut apparaître dans plusieurs groupes (par exemple la warfarine, le méthotrexate).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800"/>
        <w:gridCol w:w="1550"/>
        <w:gridCol w:w="3076"/>
      </w:tblGrid>
      <w:tr>
        <w:trPr>
          <w:tblHeader/>
        </w:trPr>
        <w:tc>
          <w:tcPr>
            <w:tcW w:type="dxa" w:w="2400"/>
            <w:tcBorders>
              <w:top w:val="single" w:color="999999" w:sz="4"/>
              <w:left w:val="single" w:color="999999" w:sz="4"/>
              <w:bottom w:val="single" w:color="999999" w:sz="4"/>
              <w:right w:val="single" w:color="999999" w:sz="4"/>
            </w:tcBorders>
            <w:shd w:fill="E7ECF3" w:color="auto" w:val="clear"/>
            <w:tcMar>
              <w:top w:type="dxa" w:w="50"/>
              <w:left w:type="dxa" w:w="80"/>
              <w:bottom w:type="dxa" w:w="50"/>
              <w:right w:type="dxa" w:w="80"/>
            </w:tcMar>
          </w:tcPr>
          <w:p>
            <w:r>
              <w:rPr>
                <w:rFonts w:ascii="Calibri" w:cs="Calibri" w:eastAsia="Calibri" w:hAnsi="Calibri"/>
                <w:b/>
                <w:bCs/>
                <w:sz w:val="19"/>
                <w:szCs w:val="19"/>
              </w:rPr>
              <w:t xml:space="preserve">Groupe de gènes</w:t>
            </w:r>
          </w:p>
        </w:tc>
        <w:tc>
          <w:tcPr>
            <w:tcW w:type="dxa" w:w="1200"/>
            <w:tcBorders>
              <w:top w:val="single" w:color="999999" w:sz="4"/>
              <w:left w:val="single" w:color="999999" w:sz="4"/>
              <w:bottom w:val="single" w:color="999999" w:sz="4"/>
              <w:right w:val="single" w:color="999999" w:sz="4"/>
            </w:tcBorders>
            <w:shd w:fill="E7ECF3" w:color="auto" w:val="clear"/>
            <w:tcMar>
              <w:top w:type="dxa" w:w="50"/>
              <w:left w:type="dxa" w:w="80"/>
              <w:bottom w:type="dxa" w:w="50"/>
              <w:right w:type="dxa" w:w="80"/>
            </w:tcMar>
          </w:tcPr>
          <w:p>
            <w:r>
              <w:rPr>
                <w:rFonts w:ascii="Calibri" w:cs="Calibri" w:eastAsia="Calibri" w:hAnsi="Calibri"/>
                <w:b/>
                <w:bCs/>
                <w:sz w:val="19"/>
                <w:szCs w:val="19"/>
              </w:rPr>
              <w:t xml:space="preserve">Médicaments</w:t>
            </w:r>
          </w:p>
        </w:tc>
        <w:tc>
          <w:tcPr>
            <w:tcW w:type="dxa" w:w="800"/>
            <w:tcBorders>
              <w:top w:val="single" w:color="999999" w:sz="4"/>
              <w:left w:val="single" w:color="999999" w:sz="4"/>
              <w:bottom w:val="single" w:color="999999" w:sz="4"/>
              <w:right w:val="single" w:color="999999" w:sz="4"/>
            </w:tcBorders>
            <w:shd w:fill="E7ECF3" w:color="auto" w:val="clear"/>
            <w:tcMar>
              <w:top w:type="dxa" w:w="50"/>
              <w:left w:type="dxa" w:w="80"/>
              <w:bottom w:type="dxa" w:w="50"/>
              <w:right w:type="dxa" w:w="80"/>
            </w:tcMar>
          </w:tcPr>
          <w:p>
            <w:r>
              <w:rPr>
                <w:rFonts w:ascii="Calibri" w:cs="Calibri" w:eastAsia="Calibri" w:hAnsi="Calibri"/>
                <w:b/>
                <w:bCs/>
                <w:sz w:val="19"/>
                <w:szCs w:val="19"/>
              </w:rPr>
              <w:t xml:space="preserve">Règles</w:t>
            </w:r>
          </w:p>
        </w:tc>
        <w:tc>
          <w:tcPr>
            <w:tcW w:type="dxa" w:w="1550"/>
            <w:tcBorders>
              <w:top w:val="single" w:color="999999" w:sz="4"/>
              <w:left w:val="single" w:color="999999" w:sz="4"/>
              <w:bottom w:val="single" w:color="999999" w:sz="4"/>
              <w:right w:val="single" w:color="999999" w:sz="4"/>
            </w:tcBorders>
            <w:shd w:fill="E7ECF3" w:color="auto" w:val="clear"/>
            <w:tcMar>
              <w:top w:type="dxa" w:w="50"/>
              <w:left w:type="dxa" w:w="80"/>
              <w:bottom w:type="dxa" w:w="50"/>
              <w:right w:type="dxa" w:w="80"/>
            </w:tcMar>
          </w:tcPr>
          <w:p>
            <w:r>
              <w:rPr>
                <w:rFonts w:ascii="Calibri" w:cs="Calibri" w:eastAsia="Calibri" w:hAnsi="Calibri"/>
                <w:b/>
                <w:bCs/>
                <w:sz w:val="19"/>
                <w:szCs w:val="19"/>
              </w:rPr>
              <w:t xml:space="preserve">Organisations</w:t>
            </w:r>
          </w:p>
        </w:tc>
        <w:tc>
          <w:tcPr>
            <w:tcW w:type="dxa" w:w="3076"/>
            <w:tcBorders>
              <w:top w:val="single" w:color="999999" w:sz="4"/>
              <w:left w:val="single" w:color="999999" w:sz="4"/>
              <w:bottom w:val="single" w:color="999999" w:sz="4"/>
              <w:right w:val="single" w:color="999999" w:sz="4"/>
            </w:tcBorders>
            <w:shd w:fill="E7ECF3" w:color="auto" w:val="clear"/>
            <w:tcMar>
              <w:top w:type="dxa" w:w="50"/>
              <w:left w:type="dxa" w:w="80"/>
              <w:bottom w:type="dxa" w:w="50"/>
              <w:right w:type="dxa" w:w="80"/>
            </w:tcMar>
          </w:tcPr>
          <w:p>
            <w:r>
              <w:rPr>
                <w:rFonts w:ascii="Calibri" w:cs="Calibri" w:eastAsia="Calibri" w:hAnsi="Calibri"/>
                <w:b/>
                <w:bCs/>
                <w:sz w:val="19"/>
                <w:szCs w:val="19"/>
              </w:rPr>
              <w:t xml:space="preserve">Niveau de lecture</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G6PD</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49</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245</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CPIC</w:t>
            </w:r>
          </w:p>
        </w:tc>
        <w:tc>
          <w:tcPr>
            <w:tcW w:type="dxa" w:w="307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Annotations PharmGKB + tableaux 2 à 5 de l'article CPIC 2022 (Gammal et al.)</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HLA (10 médicaments)</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10</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24</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CPIC, DPWG, RNPGx, CPNDS, ACR</w:t>
            </w:r>
          </w:p>
        </w:tc>
        <w:tc>
          <w:tcPr>
            <w:tcW w:type="dxa" w:w="307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3 annotations sur 20 lues en texte complet ; les 17 autres : résumé et force par mots-clés</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MT-RNR1 (aminosides)</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11</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44</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CPIC</w:t>
            </w:r>
          </w:p>
        </w:tc>
        <w:tc>
          <w:tcPr>
            <w:tcW w:type="dxa" w:w="307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Tableau 1 de l'annotation lu</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RYR1 / CACNA1S (anesthésiques volatils, succinylcholine)</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7</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21</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CPIC</w:t>
            </w:r>
          </w:p>
        </w:tc>
        <w:tc>
          <w:tcPr>
            <w:tcW w:type="dxa" w:w="307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Résumé et extraits ; tableau de recommandations non lu</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Antivitamines K (VKORC1, CYP2C9, CYP4F2)</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4</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15</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CPIC, DPWG, CPNDS, RNPGx</w:t>
            </w:r>
          </w:p>
        </w:tc>
        <w:tc>
          <w:tcPr>
            <w:tcW w:type="dxa" w:w="307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Texte complet lu</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IFNL3 (peginterféron, ribavirine)</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3</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6</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CPIC</w:t>
            </w:r>
          </w:p>
        </w:tc>
        <w:tc>
          <w:tcPr>
            <w:tcW w:type="dxa" w:w="307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Texte complet lu</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CFTR (ivacaftor)</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1</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8</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CPIC, CFF</w:t>
            </w:r>
          </w:p>
        </w:tc>
        <w:tc>
          <w:tcPr>
            <w:tcW w:type="dxa" w:w="307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Texte complet lu</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CYP3A4 / CYP3A5 (quétiapine, paclitaxel, statines, tacrolimus)</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10</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13</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CPIC, DPWG, RNPGx</w:t>
            </w:r>
          </w:p>
        </w:tc>
        <w:tc>
          <w:tcPr>
            <w:tcW w:type="dxa" w:w="307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Texte complet lu</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ADRB2 (bêta-bloquants)</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6</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6</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CPIC</w:t>
            </w:r>
          </w:p>
        </w:tc>
        <w:tc>
          <w:tcPr>
            <w:tcW w:type="dxa" w:w="307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Texte complet lu</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NAT2 (hydralazine)</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1</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5</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CPIC</w:t>
            </w:r>
          </w:p>
        </w:tc>
        <w:tc>
          <w:tcPr>
            <w:tcW w:type="dxa" w:w="307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Texte complet lu</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MTHFR, SLC19A1 (méthotrexate, acide folique)</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2</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6</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DPWG, RNPGx</w:t>
            </w:r>
          </w:p>
        </w:tc>
        <w:tc>
          <w:tcPr>
            <w:tcW w:type="dxa" w:w="307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Texte complet lu</w:t>
            </w:r>
          </w:p>
        </w:tc>
      </w:tr>
    </w:tbl>
    <w:p>
      <w:pPr>
        <w:spacing w:after="60"/>
      </w:pPr>
      <w:r>
        <w:rPr>
          <w:rFonts w:ascii="Calibri" w:cs="Calibri" w:eastAsia="Calibri" w:hAnsi="Calibri"/>
          <w:sz w:val="22"/>
          <w:szCs w:val="22"/>
        </w:rPr>
        <w:t xml:space="preserve"/>
      </w:r>
    </w:p>
    <w:p>
      <w:pPr>
        <w:spacing w:after="120" w:line="276"/>
        <w:jc w:val="both"/>
      </w:pPr>
      <w:r>
        <w:rPr>
          <w:rFonts w:ascii="Calibri" w:cs="Calibri" w:eastAsia="Calibri" w:hAnsi="Calibri"/>
          <w:sz w:val="22"/>
          <w:szCs w:val="22"/>
        </w:rPr>
        <w:t xml:space="preserve">Répartition des règles par classe d’action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5626"/>
      </w:tblGrid>
      <w:tr>
        <w:trPr>
          <w:tblHeader/>
        </w:trPr>
        <w:tc>
          <w:tcPr>
            <w:tcW w:type="dxa" w:w="2600"/>
            <w:tcBorders>
              <w:top w:val="single" w:color="999999" w:sz="4"/>
              <w:left w:val="single" w:color="999999" w:sz="4"/>
              <w:bottom w:val="single" w:color="999999" w:sz="4"/>
              <w:right w:val="single" w:color="999999" w:sz="4"/>
            </w:tcBorders>
            <w:shd w:fill="E7ECF3" w:color="auto" w:val="clear"/>
            <w:tcMar>
              <w:top w:type="dxa" w:w="50"/>
              <w:left w:type="dxa" w:w="80"/>
              <w:bottom w:type="dxa" w:w="50"/>
              <w:right w:type="dxa" w:w="80"/>
            </w:tcMar>
          </w:tcPr>
          <w:p>
            <w:r>
              <w:rPr>
                <w:rFonts w:ascii="Calibri" w:cs="Calibri" w:eastAsia="Calibri" w:hAnsi="Calibri"/>
                <w:b/>
                <w:bCs/>
                <w:sz w:val="19"/>
                <w:szCs w:val="19"/>
              </w:rPr>
              <w:t xml:space="preserve">Classe</w:t>
            </w:r>
          </w:p>
        </w:tc>
        <w:tc>
          <w:tcPr>
            <w:tcW w:type="dxa" w:w="800"/>
            <w:tcBorders>
              <w:top w:val="single" w:color="999999" w:sz="4"/>
              <w:left w:val="single" w:color="999999" w:sz="4"/>
              <w:bottom w:val="single" w:color="999999" w:sz="4"/>
              <w:right w:val="single" w:color="999999" w:sz="4"/>
            </w:tcBorders>
            <w:shd w:fill="E7ECF3" w:color="auto" w:val="clear"/>
            <w:tcMar>
              <w:top w:type="dxa" w:w="50"/>
              <w:left w:type="dxa" w:w="80"/>
              <w:bottom w:type="dxa" w:w="50"/>
              <w:right w:type="dxa" w:w="80"/>
            </w:tcMar>
          </w:tcPr>
          <w:p>
            <w:r>
              <w:rPr>
                <w:rFonts w:ascii="Calibri" w:cs="Calibri" w:eastAsia="Calibri" w:hAnsi="Calibri"/>
                <w:b/>
                <w:bCs/>
                <w:sz w:val="19"/>
                <w:szCs w:val="19"/>
              </w:rPr>
              <w:t xml:space="preserve">Règles</w:t>
            </w:r>
          </w:p>
        </w:tc>
        <w:tc>
          <w:tcPr>
            <w:tcW w:type="dxa" w:w="5626"/>
            <w:tcBorders>
              <w:top w:val="single" w:color="999999" w:sz="4"/>
              <w:left w:val="single" w:color="999999" w:sz="4"/>
              <w:bottom w:val="single" w:color="999999" w:sz="4"/>
              <w:right w:val="single" w:color="999999" w:sz="4"/>
            </w:tcBorders>
            <w:shd w:fill="E7ECF3" w:color="auto" w:val="clear"/>
            <w:tcMar>
              <w:top w:type="dxa" w:w="50"/>
              <w:left w:type="dxa" w:w="80"/>
              <w:bottom w:type="dxa" w:w="50"/>
              <w:right w:type="dxa" w:w="80"/>
            </w:tcMar>
          </w:tcPr>
          <w:p>
            <w:r>
              <w:rPr>
                <w:rFonts w:ascii="Calibri" w:cs="Calibri" w:eastAsia="Calibri" w:hAnsi="Calibri"/>
                <w:b/>
                <w:bCs/>
                <w:sz w:val="19"/>
                <w:szCs w:val="19"/>
              </w:rPr>
              <w:t xml:space="preserve">Signification</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STANDARD</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111</w:t>
            </w:r>
          </w:p>
        </w:tc>
        <w:tc>
          <w:tcPr>
            <w:tcW w:type="dxa" w:w="562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Dose standard / aucune action liée au génotype</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AUCUNE_RECOMMANDATION</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95</w:t>
            </w:r>
          </w:p>
        </w:tc>
        <w:tc>
          <w:tcPr>
            <w:tcW w:type="dxa" w:w="562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Aucune recommandation des guidelines (niveau C ou preuves insuffisantes)</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NON_DETERMINE</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70</w:t>
            </w:r>
          </w:p>
        </w:tc>
        <w:tc>
          <w:tcPr>
            <w:tcW w:type="dxa" w:w="562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Génotype ou activité enzymatique à obtenir (jamais traité comme normal)</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EVITER</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50</w:t>
            </w:r>
          </w:p>
        </w:tc>
        <w:tc>
          <w:tcPr>
            <w:tcW w:type="dxa" w:w="562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Éviter ou contre-indiqué</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SURVEILLER</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39</w:t>
            </w:r>
          </w:p>
        </w:tc>
        <w:tc>
          <w:tcPr>
            <w:tcW w:type="dxa" w:w="562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Utiliser avec surveillance</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ADAPTER_DOSE</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15</w:t>
            </w:r>
          </w:p>
        </w:tc>
        <w:tc>
          <w:tcPr>
            <w:tcW w:type="dxa" w:w="562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Adapter la dose</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A_VALIDER</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13</w:t>
            </w:r>
          </w:p>
        </w:tc>
        <w:tc>
          <w:tcPr>
            <w:tcW w:type="dxa" w:w="562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alibri" w:cs="Calibri" w:eastAsia="Calibri" w:hAnsi="Calibri"/>
                <w:b w:val="false"/>
                <w:bCs w:val="false"/>
                <w:sz w:val="19"/>
                <w:szCs w:val="19"/>
              </w:rPr>
              <w:t xml:space="preserve">Lecture à confirmer ou classe à décider</w:t>
            </w:r>
          </w:p>
        </w:tc>
      </w:tr>
    </w:tbl>
    <w:p>
      <w:pPr>
        <w:spacing w:after="60"/>
      </w:pPr>
      <w:r>
        <w:rPr>
          <w:rFonts w:ascii="Calibri" w:cs="Calibri" w:eastAsia="Calibri" w:hAnsi="Calibri"/>
          <w:sz w:val="22"/>
          <w:szCs w:val="22"/>
        </w:rPr>
        <w:t xml:space="preserve"/>
      </w:r>
    </w:p>
    <w:p>
      <w:pPr>
        <w:spacing w:after="120" w:line="276"/>
        <w:jc w:val="both"/>
      </w:pPr>
      <w:r>
        <w:rPr>
          <w:rFonts w:ascii="Calibri" w:cs="Calibri" w:eastAsia="Calibri" w:hAnsi="Calibri"/>
          <w:sz w:val="22"/>
          <w:szCs w:val="22"/>
        </w:rPr>
        <w:t xml:space="preserve">Pour les quatre premiers groupes (G6PD, HLA, MT-RNR1, RYR1/CACNA1S), 34 médicaments ont une action de génotype lue dans le texte (G6PD 8, HLA 8, MT-RNR1 11, RYR1/CACNA1S 7). Un seul d’entre eux (la phénytoïne) est étiqueté dans le corpus d’entraînement actuel.</w:t>
      </w:r>
    </w:p>
    <w:p>
      <w:pPr>
        <w:pStyle w:val="Heading2"/>
        <w:spacing w:after="90" w:before="180"/>
      </w:pPr>
      <w:r>
        <w:rPr>
          <w:rFonts w:ascii="Calibri" w:cs="Calibri" w:eastAsia="Calibri" w:hAnsi="Calibri"/>
          <w:b/>
          <w:bCs/>
          <w:sz w:val="24"/>
          <w:szCs w:val="24"/>
        </w:rPr>
        <w:t xml:space="preserve">4. Désaccords entre organisations (conservés)</w:t>
      </w:r>
    </w:p>
    <w:p>
      <w:pPr>
        <w:pStyle w:val="ListParagraph"/>
        <w:numPr>
          <w:ilvl w:val="0"/>
          <w:numId w:val="2"/>
        </w:numPr>
        <w:spacing w:after="70" w:line="264"/>
      </w:pPr>
      <w:r>
        <w:rPr>
          <w:rFonts w:ascii="Calibri" w:cs="Calibri" w:eastAsia="Calibri" w:hAnsi="Calibri"/>
          <w:sz w:val="22"/>
          <w:szCs w:val="22"/>
        </w:rPr>
        <w:t xml:space="preserve">Carbamazépine : les listes d’allèles HLA (B*15:02, B*15:11, A*31:01) et la force de la consigne diffèrent selon CPIC, DPWG et RNPGx.</w:t>
      </w:r>
    </w:p>
    <w:p>
      <w:pPr>
        <w:pStyle w:val="ListParagraph"/>
        <w:numPr>
          <w:ilvl w:val="0"/>
          <w:numId w:val="2"/>
        </w:numPr>
        <w:spacing w:after="70" w:line="264"/>
      </w:pPr>
      <w:r>
        <w:rPr>
          <w:rFonts w:ascii="Calibri" w:cs="Calibri" w:eastAsia="Calibri" w:hAnsi="Calibri"/>
          <w:sz w:val="22"/>
          <w:szCs w:val="22"/>
        </w:rPr>
        <w:t xml:space="preserve">Allopurinol, oxcarbazépine, phénytoïne : la force de la consigne d’éviter diffère selon les organisations.</w:t>
      </w:r>
    </w:p>
    <w:p>
      <w:pPr>
        <w:pStyle w:val="ListParagraph"/>
        <w:numPr>
          <w:ilvl w:val="0"/>
          <w:numId w:val="2"/>
        </w:numPr>
        <w:spacing w:after="70" w:line="264"/>
      </w:pPr>
      <w:r>
        <w:rPr>
          <w:rFonts w:ascii="Calibri" w:cs="Calibri" w:eastAsia="Calibri" w:hAnsi="Calibri"/>
          <w:sz w:val="22"/>
          <w:szCs w:val="22"/>
        </w:rPr>
        <w:t xml:space="preserve">Méthotrexate et MTHFR : le DPWG conclut à l’absence d’interaction gène-médicament, le RNPGx juge les tests « potentiellement utiles » en oncologie.</w:t>
      </w:r>
    </w:p>
    <w:p>
      <w:pPr>
        <w:pStyle w:val="Heading2"/>
        <w:spacing w:after="90" w:before="180"/>
      </w:pPr>
      <w:r>
        <w:rPr>
          <w:rFonts w:ascii="Calibri" w:cs="Calibri" w:eastAsia="Calibri" w:hAnsi="Calibri"/>
          <w:b/>
          <w:bCs/>
          <w:sz w:val="24"/>
          <w:szCs w:val="24"/>
        </w:rPr>
        <w:t xml:space="preserve">5. Corrections tracées</w:t>
      </w:r>
    </w:p>
    <w:p>
      <w:pPr>
        <w:pStyle w:val="ListParagraph"/>
        <w:numPr>
          <w:ilvl w:val="0"/>
          <w:numId w:val="2"/>
        </w:numPr>
        <w:spacing w:after="70" w:line="264"/>
      </w:pPr>
      <w:r>
        <w:rPr>
          <w:rFonts w:ascii="Calibri" w:cs="Calibri" w:eastAsia="Calibri" w:hAnsi="Calibri"/>
          <w:sz w:val="22"/>
          <w:szCs w:val="22"/>
        </w:rPr>
        <w:t xml:space="preserve">Carbamazépine (DPWG), allèle HLA-B*15:02 : classé d’abord « envisager une alternative » d’après le résumé PharmGKB ; le texte complet dit « éviter ». Corrigé dans hla_consignes_v2.csv ; la v1 est conservée avec la correction notée.</w:t>
      </w:r>
    </w:p>
    <w:p>
      <w:pPr>
        <w:pStyle w:val="ListParagraph"/>
        <w:numPr>
          <w:ilvl w:val="0"/>
          <w:numId w:val="2"/>
        </w:numPr>
        <w:spacing w:after="70" w:line="264"/>
      </w:pPr>
      <w:r>
        <w:rPr>
          <w:rFonts w:ascii="Calibri" w:cs="Calibri" w:eastAsia="Calibri" w:hAnsi="Calibri"/>
          <w:sz w:val="22"/>
          <w:szCs w:val="22"/>
        </w:rPr>
        <w:t xml:space="preserve">Nombre de personnes typées HLA : la valeur de 1 267 correspond au total d’une colonne de taille d’échantillon, pas à un nombre d’individus typés par séquençage ; les typages individuels viennent de dbMHC.</w:t>
      </w:r>
    </w:p>
    <w:p>
      <w:pPr>
        <w:pStyle w:val="Heading2"/>
        <w:spacing w:after="90" w:before="180"/>
      </w:pPr>
      <w:r>
        <w:rPr>
          <w:rFonts w:ascii="Calibri" w:cs="Calibri" w:eastAsia="Calibri" w:hAnsi="Calibri"/>
          <w:b/>
          <w:bCs/>
          <w:sz w:val="24"/>
          <w:szCs w:val="24"/>
        </w:rPr>
        <w:t xml:space="preserve">6. Limites (non vérifiées ou non terminées)</w:t>
      </w:r>
    </w:p>
    <w:p>
      <w:pPr>
        <w:pStyle w:val="ListParagraph"/>
        <w:numPr>
          <w:ilvl w:val="0"/>
          <w:numId w:val="2"/>
        </w:numPr>
        <w:spacing w:after="70" w:line="264"/>
      </w:pPr>
      <w:r>
        <w:rPr>
          <w:rFonts w:ascii="Calibri" w:cs="Calibri" w:eastAsia="Calibri" w:hAnsi="Calibri"/>
          <w:sz w:val="22"/>
          <w:szCs w:val="22"/>
        </w:rPr>
        <w:t xml:space="preserve">Jeu d’entraînement inchangé : 12 gènes d’entrée, 76 médicaments, 76 028 lignes (1 379 profils 1000 Genomes × 76 médicaments). Les règles ci-dessus ne sont pas encore intégrées au corpus.</w:t>
      </w:r>
    </w:p>
    <w:p>
      <w:pPr>
        <w:pStyle w:val="ListParagraph"/>
        <w:numPr>
          <w:ilvl w:val="0"/>
          <w:numId w:val="2"/>
        </w:numPr>
        <w:spacing w:after="70" w:line="264"/>
      </w:pPr>
      <w:r>
        <w:rPr>
          <w:rFonts w:ascii="Calibri" w:cs="Calibri" w:eastAsia="Calibri" w:hAnsi="Calibri"/>
          <w:sz w:val="22"/>
          <w:szCs w:val="22"/>
        </w:rPr>
        <w:t xml:space="preserve">La présence des variants G6PD (chrX), MT-RNR1 (chrM), RYR1 et CACNA1S dans les VCF utilisés n’a pas été testée.</w:t>
      </w:r>
    </w:p>
    <w:p>
      <w:pPr>
        <w:pStyle w:val="ListParagraph"/>
        <w:numPr>
          <w:ilvl w:val="0"/>
          <w:numId w:val="2"/>
        </w:numPr>
        <w:spacing w:after="70" w:line="264"/>
      </w:pPr>
      <w:r>
        <w:rPr>
          <w:rFonts w:ascii="Calibri" w:cs="Calibri" w:eastAsia="Calibri" w:hAnsi="Calibri"/>
          <w:sz w:val="22"/>
          <w:szCs w:val="22"/>
        </w:rPr>
        <w:t xml:space="preserve">HLA-B réel pour 508 profils sur 1 379 ; 871 profils sans typage. Peu de porteurs : B*15:02 = 6, B*58:01 = 3 (typages certains).</w:t>
      </w:r>
    </w:p>
    <w:p>
      <w:pPr>
        <w:pStyle w:val="ListParagraph"/>
        <w:numPr>
          <w:ilvl w:val="0"/>
          <w:numId w:val="2"/>
        </w:numPr>
        <w:spacing w:after="70" w:line="264"/>
      </w:pPr>
      <w:r>
        <w:rPr>
          <w:rFonts w:ascii="Calibri" w:cs="Calibri" w:eastAsia="Calibri" w:hAnsi="Calibri"/>
          <w:sz w:val="22"/>
          <w:szCs w:val="22"/>
        </w:rPr>
        <w:t xml:space="preserve">Sur 20 annotations HLA, 3 sont lues en texte complet. Le tableau de recommandations RYR1/CACNA1S n’a pas été lu.</w:t>
      </w:r>
    </w:p>
    <w:p>
      <w:pPr>
        <w:pStyle w:val="ListParagraph"/>
        <w:numPr>
          <w:ilvl w:val="0"/>
          <w:numId w:val="2"/>
        </w:numPr>
        <w:spacing w:after="70" w:line="264"/>
      </w:pPr>
      <w:r>
        <w:rPr>
          <w:rFonts w:ascii="Calibri" w:cs="Calibri" w:eastAsia="Calibri" w:hAnsi="Calibri"/>
          <w:sz w:val="22"/>
          <w:szCs w:val="22"/>
        </w:rPr>
        <w:t xml:space="preserve">IFNL3 : la guideline décrit un prédicteur de réponse, sans consigne d’éviter ni de dose ; la classe reste à décider.</w:t>
      </w:r>
    </w:p>
    <w:p>
      <w:pPr>
        <w:pStyle w:val="ListParagraph"/>
        <w:numPr>
          <w:ilvl w:val="0"/>
          <w:numId w:val="2"/>
        </w:numPr>
        <w:spacing w:after="70" w:line="264"/>
      </w:pPr>
      <w:r>
        <w:rPr>
          <w:rFonts w:ascii="Calibri" w:cs="Calibri" w:eastAsia="Calibri" w:hAnsi="Calibri"/>
          <w:sz w:val="22"/>
          <w:szCs w:val="22"/>
        </w:rPr>
        <w:t xml:space="preserve">Ni PubMed ni Scopus n’ont été interrogés ; la recherche de littérature s’est limitée aux pages et articles cités ci-dessous.</w:t>
      </w:r>
    </w:p>
    <w:p>
      <w:pPr>
        <w:pStyle w:val="Heading2"/>
        <w:spacing w:after="90" w:before="180"/>
      </w:pPr>
      <w:r>
        <w:rPr>
          <w:rFonts w:ascii="Calibri" w:cs="Calibri" w:eastAsia="Calibri" w:hAnsi="Calibri"/>
          <w:b/>
          <w:bCs/>
          <w:sz w:val="24"/>
          <w:szCs w:val="24"/>
        </w:rPr>
        <w:t xml:space="preserve">7. Positionnement par rapport aux travaux existants</w:t>
      </w:r>
    </w:p>
    <w:p>
      <w:pPr>
        <w:spacing w:after="120" w:line="276"/>
        <w:jc w:val="both"/>
      </w:pPr>
      <w:r>
        <w:rPr>
          <w:rFonts w:ascii="Calibri" w:cs="Calibri" w:eastAsia="Calibri" w:hAnsi="Calibri"/>
          <w:sz w:val="22"/>
          <w:szCs w:val="22"/>
        </w:rPr>
        <w:t xml:space="preserve">PharmCAT prend un VCF, appelle les diplotypes, les convertit en phénotypes et produit un rapport de recommandations issues de CPIC, DPWG et des étiquettes FDA. Les deux travaux récents consultés utilisent des modèles de langage : l’un génère des guidelines à partir de la littérature et déclare ne pas viser la recommandation au patient, l’autre répond à des questions en texte libre ; ni l’un ni l’autre ne prend de VCF. Une revue de 2025 sur l’apprentissage automatique en pharmacogénomique ne décrit aucun modèle produisant des recommandations de médicament. Cette revue ne couvre pas les travaux postérieurs. La valeur ajoutée du DL par rapport à une table de règles (F1 0,9999 pour la table, 0,9993 pour le DL) reste à démontrer par les expériences, notamment sur les combinaisons non vues.</w:t>
      </w:r>
    </w:p>
    <w:p>
      <w:pPr>
        <w:pStyle w:val="Heading2"/>
        <w:spacing w:after="90" w:before="180"/>
      </w:pPr>
      <w:r>
        <w:rPr>
          <w:rFonts w:ascii="Calibri" w:cs="Calibri" w:eastAsia="Calibri" w:hAnsi="Calibri"/>
          <w:b/>
          <w:bCs/>
          <w:sz w:val="24"/>
          <w:szCs w:val="24"/>
        </w:rPr>
        <w:t xml:space="preserve">Références</w:t>
      </w:r>
    </w:p>
    <w:p>
      <w:pPr>
        <w:spacing w:after="60"/>
      </w:pPr>
      <w:r>
        <w:rPr>
          <w:rFonts w:ascii="Calibri" w:cs="Calibri" w:eastAsia="Calibri" w:hAnsi="Calibri"/>
          <w:sz w:val="22"/>
          <w:szCs w:val="22"/>
        </w:rPr>
        <w:t xml:space="preserve"/>
      </w:r>
      <w:hyperlink w:history="1" r:id="rIdzqv1endwnslo5gjsmqjvw">
        <w:r>
          <w:rPr>
            <w:rStyle w:val="Hyperlink"/>
            <w:rFonts w:ascii="Calibri" w:cs="Calibri" w:eastAsia="Calibri" w:hAnsi="Calibri"/>
            <w:sz w:val="20"/>
            <w:szCs w:val="20"/>
          </w:rPr>
          <w:t xml:space="preserve">PharmCAT — How PharmCAT works</w:t>
        </w:r>
      </w:hyperlink>
    </w:p>
    <w:p>
      <w:pPr>
        <w:spacing w:after="60"/>
      </w:pPr>
      <w:r>
        <w:rPr>
          <w:rFonts w:ascii="Calibri" w:cs="Calibri" w:eastAsia="Calibri" w:hAnsi="Calibri"/>
          <w:sz w:val="22"/>
          <w:szCs w:val="22"/>
        </w:rPr>
        <w:t xml:space="preserve"/>
      </w:r>
      <w:hyperlink w:history="1" r:id="rIdt2nuytr0bncfttjopqorj">
        <w:r>
          <w:rPr>
            <w:rStyle w:val="Hyperlink"/>
            <w:rFonts w:ascii="Calibri" w:cs="Calibri" w:eastAsia="Calibri" w:hAnsi="Calibri"/>
            <w:sz w:val="20"/>
            <w:szCs w:val="20"/>
          </w:rPr>
          <w:t xml:space="preserve">Zack et al. 2026, npj Digital Medicine 9:541 (agentic AI, PGxAI-Recommender)</w:t>
        </w:r>
      </w:hyperlink>
    </w:p>
    <w:p>
      <w:pPr>
        <w:spacing w:after="60"/>
      </w:pPr>
      <w:r>
        <w:rPr>
          <w:rFonts w:ascii="Calibri" w:cs="Calibri" w:eastAsia="Calibri" w:hAnsi="Calibri"/>
          <w:sz w:val="22"/>
          <w:szCs w:val="22"/>
        </w:rPr>
        <w:t xml:space="preserve"/>
      </w:r>
      <w:hyperlink w:history="1" r:id="rId6figyfvot1vhho8spuzt4">
        <w:r>
          <w:rPr>
            <w:rStyle w:val="Hyperlink"/>
            <w:rFonts w:ascii="Calibri" w:cs="Calibri" w:eastAsia="Calibri" w:hAnsi="Calibri"/>
            <w:sz w:val="20"/>
            <w:szCs w:val="20"/>
          </w:rPr>
          <w:t xml:space="preserve">Arafin et al. 2026, Applied Sciences 16:9148 (LLM + RAG)</w:t>
        </w:r>
      </w:hyperlink>
    </w:p>
    <w:p>
      <w:pPr>
        <w:spacing w:after="60"/>
      </w:pPr>
      <w:r>
        <w:rPr>
          <w:rFonts w:ascii="Calibri" w:cs="Calibri" w:eastAsia="Calibri" w:hAnsi="Calibri"/>
          <w:sz w:val="22"/>
          <w:szCs w:val="22"/>
        </w:rPr>
        <w:t xml:space="preserve"/>
      </w:r>
      <w:hyperlink w:history="1" r:id="rIdjwpcymwabyu6qiq7ibibv">
        <w:r>
          <w:rPr>
            <w:rStyle w:val="Hyperlink"/>
            <w:rFonts w:ascii="Calibri" w:cs="Calibri" w:eastAsia="Calibri" w:hAnsi="Calibri"/>
            <w:sz w:val="20"/>
            <w:szCs w:val="20"/>
          </w:rPr>
          <w:t xml:space="preserve">Tremmel et al. 2025, Pharmacogenomics — ML pour la prédiction d’effet des variants pharmacogénomiques</w:t>
        </w:r>
      </w:hyperlink>
    </w:p>
    <w:p>
      <w:pPr>
        <w:spacing w:after="60"/>
      </w:pPr>
      <w:r>
        <w:rPr>
          <w:rFonts w:ascii="Calibri" w:cs="Calibri" w:eastAsia="Calibri" w:hAnsi="Calibri"/>
          <w:sz w:val="22"/>
          <w:szCs w:val="22"/>
        </w:rPr>
        <w:t xml:space="preserve"/>
      </w:r>
      <w:hyperlink w:history="1" r:id="rIdc5q5jkzqquacwmzx_gjad">
        <w:r>
          <w:rPr>
            <w:rStyle w:val="Hyperlink"/>
            <w:rFonts w:ascii="Calibri" w:cs="Calibri" w:eastAsia="Calibri" w:hAnsi="Calibri"/>
            <w:sz w:val="20"/>
            <w:szCs w:val="20"/>
          </w:rPr>
          <w:t xml:space="preserve">Abdullah-Koolmees et al. 2020, Front. Pharmacol. 11:595219 — comparaison DPWG, CPIC, CPNDS, RNPGx</w:t>
        </w:r>
      </w:hyperlink>
    </w:p>
    <w:p>
      <w:pPr>
        <w:spacing w:after="60"/>
      </w:pPr>
      <w:r>
        <w:rPr>
          <w:rFonts w:ascii="Calibri" w:cs="Calibri" w:eastAsia="Calibri" w:hAnsi="Calibri"/>
          <w:sz w:val="22"/>
          <w:szCs w:val="22"/>
        </w:rPr>
        <w:t xml:space="preserve"/>
      </w:r>
      <w:hyperlink w:history="1" r:id="rIdkngacofaolzzfl8dqyrxv">
        <w:r>
          <w:rPr>
            <w:rStyle w:val="Hyperlink"/>
            <w:rFonts w:ascii="Calibri" w:cs="Calibri" w:eastAsia="Calibri" w:hAnsi="Calibri"/>
            <w:sz w:val="20"/>
            <w:szCs w:val="20"/>
          </w:rPr>
          <w:t xml:space="preserve">Gammal et al. — CPIC G6PD 2022 (PMC10281211)</w:t>
        </w:r>
      </w:hyperlink>
    </w:p>
    <w:p>
      <w:pPr>
        <w:spacing w:after="60"/>
      </w:pPr>
      <w:r>
        <w:rPr>
          <w:rFonts w:ascii="Calibri" w:cs="Calibri" w:eastAsia="Calibri" w:hAnsi="Calibri"/>
          <w:sz w:val="22"/>
          <w:szCs w:val="22"/>
        </w:rPr>
        <w:t xml:space="preserve"/>
      </w:r>
      <w:hyperlink w:history="1" r:id="rIdkcen5jxepop4yiwvfxcdn">
        <w:r>
          <w:rPr>
            <w:rStyle w:val="Hyperlink"/>
            <w:rFonts w:ascii="Calibri" w:cs="Calibri" w:eastAsia="Calibri" w:hAnsi="Calibri"/>
            <w:sz w:val="20"/>
            <w:szCs w:val="20"/>
          </w:rPr>
          <w:t xml:space="preserve">Archive NCBI dbMHC</w:t>
        </w:r>
      </w:hyperlink>
    </w:p>
    <w:p>
      <w:pPr>
        <w:spacing w:after="60"/>
      </w:pPr>
      <w:r>
        <w:rPr>
          <w:rFonts w:ascii="Calibri" w:cs="Calibri" w:eastAsia="Calibri" w:hAnsi="Calibri"/>
          <w:sz w:val="22"/>
          <w:szCs w:val="22"/>
        </w:rPr>
        <w:t xml:space="preserve"/>
      </w:r>
      <w:hyperlink w:history="1" r:id="rIdm3vwiq_xalslpjkqhvh6s">
        <w:r>
          <w:rPr>
            <w:rStyle w:val="Hyperlink"/>
            <w:rFonts w:ascii="Calibri" w:cs="Calibri" w:eastAsia="Calibri" w:hAnsi="Calibri"/>
            <w:sz w:val="20"/>
            <w:szCs w:val="20"/>
          </w:rPr>
          <w:t xml:space="preserve">ClinPGx / PharmGKB — annotations de guidelines</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8"/>
      <w:szCs w:val="28"/>
    </w:rPr>
  </w:style>
  <w:style w:type="paragraph" w:styleId="Heading2">
    <w:name w:val="Heading 2"/>
    <w:basedOn w:val="Normal"/>
    <w:next w:val="Normal"/>
    <w:qFormat/>
    <w:pPr>
      <w:spacing w:after="90" w:before="18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qv1endwnslo5gjsmqjvw" Type="http://schemas.openxmlformats.org/officeDocument/2006/relationships/hyperlink" Target="https://markwoon.pharmcat.org/methods/" TargetMode="External"/><Relationship Id="rIdt2nuytr0bncfttjopqorj" Type="http://schemas.openxmlformats.org/officeDocument/2006/relationships/hyperlink" Target="https://doi.org/10.1038/s41746-026-02590-w" TargetMode="External"/><Relationship Id="rId6figyfvot1vhho8spuzt4" Type="http://schemas.openxmlformats.org/officeDocument/2006/relationships/hyperlink" Target="https://doi.org/10.3390/app16189148" TargetMode="External"/><Relationship Id="rIdjwpcymwabyu6qiq7ibibv" Type="http://schemas.openxmlformats.org/officeDocument/2006/relationships/hyperlink" Target="https://pmc.ncbi.nlm.nih.gov/articles/PMC12203841/" TargetMode="External"/><Relationship Id="rIdc5q5jkzqquacwmzx_gjad" Type="http://schemas.openxmlformats.org/officeDocument/2006/relationships/hyperlink" Target="https://www.frontiersin.org/journals/pharmacology/articles/10.3389/fphar.2020.595219/full" TargetMode="External"/><Relationship Id="rIdkngacofaolzzfl8dqyrxv" Type="http://schemas.openxmlformats.org/officeDocument/2006/relationships/hyperlink" Target="https://pmc.ncbi.nlm.nih.gov/articles/PMC10281211/" TargetMode="External"/><Relationship Id="rIdkcen5jxepop4yiwvfxcdn" Type="http://schemas.openxmlformats.org/officeDocument/2006/relationships/hyperlink" Target="https://ftp.ncbi.nlm.nih.gov/pub/mhc/mhc/Final%20Archive/" TargetMode="External"/><Relationship Id="rIdm3vwiq_xalslpjkqhvh6s" Type="http://schemas.openxmlformats.org/officeDocument/2006/relationships/hyperlink" Target="https://www.pharmgkb.org/guidelineAnnotation/"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2026-10-16T21:00:51.335Z</dcterms:created>
  <dcterms:modified xsi:type="dcterms:W3CDTF">2026-10-16T21:00:51.335Z</dcterms:modified>
</cp:coreProperties>
</file>

<file path=docProps/custom.xml><?xml version="1.0" encoding="utf-8"?>
<Properties xmlns="http://schemas.openxmlformats.org/officeDocument/2006/custom-properties" xmlns:vt="http://schemas.openxmlformats.org/officeDocument/2006/docPropsVTypes"/>
</file>