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Génotypes réels sur 27 gènes et corpus v4 : méthode et résultats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État au 16 octobre 2026. Tous les chiffres ci-dessous proviennent des fichiers produits (profils_genes_v2.csv, phenotype_drug_dataset_v4.csv) et ont été recalculés après construction.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Méthode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Génotypes : PyPGx 0.27.0 (import-variants, predict-alleles, call-genotypes, call-phenotypes) sur les VCF 1000 Genomes GRCh38, déjà phasés, du dépôt pypgx-bundle 0.27.0, pour 13 gènes et les 1 379 échantillons du corpus. Pour G6PD (chromosome X), les génotypes haploïdes des hommes ont été écrits en diploïde phasé, ce que PyPGx fait déjà en interne pour ce gène.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Phénotypes : tables officielles génotype → phénotype CPIC distribuées dans le dépôt PharmCAT (NAT2, CYP3A4, RYR1, CACNA1S, CFTR) ; phénotype CPIC calculé par PyPGx pour G6PD ; nombre d’allèles variants pour VKORC1 (rs9923231) et CYP4F2 (*3).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Étiquettes : moteur du corpus v3 inchangé, appliqué aux règles v4 (règles v2 conservées, sauf les lignes G6PD, HLA-B et MT-RNR1 de la v2, remplacées par les règles lues en texte complet). Un gène manquant donne une ligne exclue, jamais une action inventée.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Couverture des 31 gènes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4826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Gènes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Valeur réelle utilisée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gènes déjà validés (inchangés) ; G6PD (1 377 profils), NAT2 (1 226), CYP3A4 (1 337), CFTR (1 348), RYR1, CACNA1S, VKORC1, CYP4F2 (1 379)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Allèles HLA publiés (dbMHC)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HLA-A et HLA-B : 508 profils typés sur 1 379 ; 871 sans typage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Génotype conservé, sans valeur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ADRB2, MTHFR, CYP1A2, CYP2A6 (aucune table de fonction CPIC/PharmCAT), IFNL3 (PyPGx lit rs12980275, pas rs12979860 de CPIC)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Aucune donnée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ACE, EGFR, SLC19A1, MT-RNR1 : absents du bundle 1000 Genomes de PyPGx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Contenu réel des profils : G6PD 39 déficients, 54 variables, 1 284 normaux, 2 indéterminés ; NAT2 654 métaboliseurs lents, 437 intermédiaires, 135 rapides, 153 indéterminés ; VKORC1 rs9923231 : 296 homozygotes variants, 378 hétérozygotes ; RYR1 : 1 profil avec variant associé à l’hyperthermie maligne ; HLA (typages certains) : B*57:01 31, B*15:02 6, B*58:01 3, A*31:01 4.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Corpus v4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corpus v4 compte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125 912 lignes pour 117 médicaments</w:t>
      </w:r>
      <w:r>
        <w:rPr>
          <w:rFonts w:ascii="Calibri" w:cs="Calibri" w:eastAsia="Calibri" w:hAnsi="Calibri"/>
          <w:sz w:val="22"/>
          <w:szCs w:val="22"/>
        </w:rPr>
        <w:t xml:space="preserve"> et 1 379 profils réels (v3 : 76 028 lignes, 76 médicaments). Répartition : STANDARD 108 268, ADAPTER_DOSE 11 046, EVITER 5 930, SURVEILLER 668. Confiance haute pour 114 943 lignes, moyenne (désaccord entre organisations) pour 10 969.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Contrôle de non-régression : 75 789 lignes communes avec le v3, toutes identiques. 239 lignes de phénytoïne du v3 sont absentes du v4 parce que HLA-B est inconnu pour ces profils (règle HLA ajoutée). 50 123 lignes sont nouvelles.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41 médicaments nouveaux : 29 n’ont qu’une seule classe (28 toujours STANDARD, hydralazine toujours ADAPTER_DOSE) et 12 en ont deux (abacavir, allopurinol, carbamazépine, oxcarbazépine, phénytoïne et fosphénytoïne par HLA ; dapsone, bleu de méthylène, pegloticase, rasburicase, tafénoquine, bleu de toluidine par G6PD ; nitrofurantoïne : SURVEILLER).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Limites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Au total 60 médicaments sur 117 n’ont qu’une seule classe dans le corpus : pour eux, le génotype ne change pas l’étiquette et ils n’apportent aucun signal sur le rôle des gènes. Les classes sont fortement déséquilibrées (86 % STANDARD).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Non étiquetés volontairement : RYR1 et CACNA1S (un résultat négatif signifie « susceptibilité incertaine », sans recommandation ; 1 seul profil porteur), MT-RNR1 (aucune donnée), antivitamines K (CPIC prescrit une dose par algorithme pour tous les patients), ivacaftor (aucun profil G551D ni F508del homozygote).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Le sexe n’est pas utilisé pour G6PD. Les phénotypes « variable » (hétérozygotes) nécessitent la mesure de l’activité enzymatique selon CPIC : les lignes correspondantes sont exclues pour les médicaments à risque.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Les appels PyPGx des 13 nouveaux gènes n’ont pas été comparés à PharmCAT ; la concordance n’est vérifiée que pour 8 gènes sur un VCF d’exemple (test du 12 octobre).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Peu de porteurs pour plusieurs gènes (HLA-B*58:01 : 3 ; RYR1 : 1 ; CFTR : 3), ce qui limite toute évaluation statistique.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Aucun entraînement n’a encore été fait sur le corpus v4 : le rôle du DL par rapport à la table de règles (F1 0,9999 pour la table, 0,9993 pour le DL sur le v3) reste à mesurer.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Sources</w:t>
      </w:r>
    </w:p>
    <w:p>
      <w:pPr>
        <w:spacing w:after="60"/>
      </w:pPr>
      <w:hyperlink w:history="1" r:id="rIdxei7odcdpeasf6hz9-qjn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PyPGx 0.27.0 — gènes supportés et pipeline</w:t>
        </w:r>
      </w:hyperlink>
    </w:p>
    <w:p>
      <w:pPr>
        <w:spacing w:after="60"/>
      </w:pPr>
      <w:hyperlink w:history="1" r:id="rIdit_q_gi9j7hr0jfvsveg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pypgx-bundle 0.27.0 (VCF 1000 Genomes GRCh38 par gène)</w:t>
        </w:r>
      </w:hyperlink>
    </w:p>
    <w:p>
      <w:pPr>
        <w:spacing w:after="60"/>
      </w:pPr>
      <w:hyperlink w:history="1" r:id="rIdsqfv66zk6yg9ncwxzuew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PharmCAT — tables phénotype CPIC (dossier phenotype)</w:t>
        </w:r>
      </w:hyperlink>
    </w:p>
    <w:p>
      <w:pPr>
        <w:spacing w:after="60"/>
      </w:pPr>
      <w:hyperlink w:history="1" r:id="rId5--vnanbwyijuzbevjob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CPIC G6PD 2022 — Gammal et al.</w:t>
        </w:r>
      </w:hyperlink>
    </w:p>
    <w:p>
      <w:pPr>
        <w:spacing w:after="60"/>
      </w:pPr>
      <w:hyperlink w:history="1" r:id="rIdzvxg6ponxufsyy761fh0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Archive NCBI dbMHC (typages HLA)</w:t>
        </w:r>
      </w:hyperlink>
    </w:p>
    <w:p>
      <w:pPr>
        <w:spacing w:after="60"/>
      </w:pPr>
      <w:hyperlink w:history="1" r:id="rId8zrcpjemknxzx_bfabzju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ClinPGx / PharmGKB — annotations de guidelines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ei7odcdpeasf6hz9-qjn" Type="http://schemas.openxmlformats.org/officeDocument/2006/relationships/hyperlink" Target="https://pypi.org/project/pypgx/" TargetMode="External"/><Relationship Id="rIdit_q_gi9j7hr0jfvsvegb" Type="http://schemas.openxmlformats.org/officeDocument/2006/relationships/hyperlink" Target="https://github.com/sbslee/pypgx-bundle" TargetMode="External"/><Relationship Id="rIdsqfv66zk6yg9ncwxzuewf" Type="http://schemas.openxmlformats.org/officeDocument/2006/relationships/hyperlink" Target="https://github.com/PharmGKB/PharmCAT" TargetMode="External"/><Relationship Id="rId5--vnanbwyijuzbevjobp" Type="http://schemas.openxmlformats.org/officeDocument/2006/relationships/hyperlink" Target="https://pmc.ncbi.nlm.nih.gov/articles/PMC10281211/" TargetMode="External"/><Relationship Id="rIdzvxg6ponxufsyy761fh0b" Type="http://schemas.openxmlformats.org/officeDocument/2006/relationships/hyperlink" Target="https://ftp.ncbi.nlm.nih.gov/pub/mhc/mhc/Final%20Archive/" TargetMode="External"/><Relationship Id="rId8zrcpjemknxzx_bfabzju" Type="http://schemas.openxmlformats.org/officeDocument/2006/relationships/hyperlink" Target="https://www.pharmgkb.org/guidelineAnnotation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2026-10-16T22:19:40.126Z</dcterms:created>
  <dcterms:modified xsi:type="dcterms:W3CDTF">2026-10-16T22:19:40.127Z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