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t>CHAPITRE 2 — ÉTAT DE L’ART ET VERROUS SCIENTIFIQUES</w:t>
      </w:r>
    </w:p>
    <w:p>
      <w:pPr>
        <w:pStyle w:val="Heading2"/>
        <w:keepNext/>
      </w:pPr>
      <w:r>
        <w:t>2.1 Fondements de la pharmacogénomique clinique</w:t>
      </w:r>
    </w:p>
    <w:p>
      <w:pPr>
        <w:pStyle w:val="Heading3"/>
        <w:keepNext/>
      </w:pPr>
      <w:r>
        <w:t>2.1.1 Du génotype à l’action thérapeutique</w:t>
      </w:r>
    </w:p>
    <w:p>
      <w:pPr>
        <w:jc w:val="both"/>
      </w:pPr>
      <w:r>
        <w:t>La pharmacogénomique étudie l’influence des variations génétiques germinales sur la réponse aux médicaments. Elle vise à utiliser l’information génétique pour contribuer au choix d’un traitement, à l’ajustement de sa dose ou à la mise en place d’une surveillance adaptée [1].</w:t>
      </w:r>
    </w:p>
    <w:p>
      <w:pPr>
        <w:jc w:val="both"/>
      </w:pPr>
      <w:r>
        <w:t>La chaîne d’interprétation pharmacogénomique comporte généralement plusieurs niveaux. Le premier correspond au génotype, c’est-à-dire aux variants observés chez l’individu. Dans les approches basées sur le séquençage, ces variants peuvent être représentés dans un fichier VCF. Ils sont ensuite interprétés pour identifier des haplotypes, des allèles étoile ou des diplotypes lorsqu’une telle nomenclature existe. Ces informations permettent à leur tour d’inférer un statut fonctionnel pharmacogénomique.</w:t>
      </w:r>
    </w:p>
    <w:p>
      <w:pPr>
        <w:jc w:val="both"/>
      </w:pPr>
      <w:r>
        <w:t>Ce statut fonctionnel n’est pas uniforme pour tous les pharmacogènes. Pour plusieurs cytochromes P450, il peut être exprimé sous la forme de catégories telles que métaboliseur lent, intermédiaire, normal, rapide ou ultrarapide. Pour d’autres gènes, l’interprétation repose plutôt sur un statut de fonction, un score d’activité, la présence d’un allèle à risque ou une combinaison particulière de variants. Les recommandations cliniques sont enfin établies en fonction de cette information génétique et du médicament considéré.</w:t>
      </w:r>
    </w:p>
    <w:p>
      <w:pPr>
        <w:jc w:val="both"/>
      </w:pPr>
      <w:r>
        <w:t>Cette dépendance simultanée au patient et au médicament est fondamentale. Un déficit enzymatique peut avoir des conséquences opposées selon la pharmacologie de la molécule. Pour un médicament administré sous une forme pharmacologiquement active, une diminution du métabolisme peut augmenter l’exposition et le risque de toxicité. À l’inverse, lorsqu’un promédicament nécessite une bioactivation enzymatique, la même diminution d’activité peut réduire la formation du métabolite actif et conduire à une perte d’efficacité.</w:t>
      </w:r>
    </w:p>
    <w:p>
      <w:pPr>
        <w:jc w:val="both"/>
      </w:pPr>
      <w:r>
        <w:t>Le clopidogrel et la codéine illustrent cette asymétrie. Le clopidogrel nécessite notamment CYP2C19 pour sa bioactivation, tandis que la conversion de la codéine en morphine dépend de CYP2D6. La signification thérapeutique d’une variation génétique ne peut donc être déduite du gène seul : elle dépend du couple formé par le profil pharmacogénomique du patient et la molécule administrée.</w:t>
      </w:r>
    </w:p>
    <w:p>
      <w:pPr>
        <w:pStyle w:val="Heading3"/>
        <w:keepNext/>
      </w:pPr>
      <w:r>
        <w:t>2.1.2 Cytochromes P450 et autres pharmacogènes</w:t>
      </w:r>
    </w:p>
    <w:p>
      <w:pPr>
        <w:jc w:val="both"/>
      </w:pPr>
      <w:r>
        <w:t>Les cytochromes P450 occupent une place majeure dans le métabolisme des xénobiotiques. Parmi les pharmacogènes fréquemment étudiés figurent notamment CYP2D6, CYP2C19, CYP2C9, CYP3A4, CYP3A5, CYP2B6, CYP1A2 et CYP2A6.</w:t>
      </w:r>
    </w:p>
    <w:p>
      <w:pPr>
        <w:jc w:val="both"/>
      </w:pPr>
      <w:r>
        <w:t>La pharmacogénomique clinique ne se limite toutefois pas aux enzymes de métabolisation. Elle concerne également des transporteurs, des enzymes de conjugaison, des cibles pharmacologiques et certains gènes du système immunitaire. SLCO1B1 intervient notamment dans l’entrée hépatique de plusieurs médicaments, tandis qu’ABCG2 participe à des mécanismes d’efflux. TPMT, NUDT15 et UGT1A1 interviennent dans différents processus métaboliques, VKORC1 constitue une cible pharmacologique majeure pour les antivitamines K, et certains allèles HLA sont associés à des réactions d’hypersensibilité sévères.</w:t>
      </w:r>
    </w:p>
    <w:p>
      <w:pPr>
        <w:jc w:val="both"/>
      </w:pPr>
      <w:r>
        <w:t>Parmi les pharmacogènes, CYP2D6 constitue un cas particulièrement complexe. Outre les variants ponctuels, le locus peut présenter des délétions, des duplications, des variations du nombre de copies et des structures hybrides impliquant le pseudogène voisin CYP2D7. Cette complexité explique pourquoi l’interprétation de CYP2D6 ne peut pas toujours être obtenue de manière fiable à partir d’un simple VCF contenant uniquement SNP et indels. La documentation PharmCAT recommande ainsi des appels spécialisés pour les configurations structurales complexes ; son mode CYP2D6 basé sur VCF relève explicitement du Research Mode [14,15].</w:t>
      </w:r>
    </w:p>
    <w:p>
      <w:pPr>
        <w:pStyle w:val="Heading3"/>
        <w:keepNext/>
      </w:pPr>
      <w:r>
        <w:t>2.1.3 Allèles étoile, diplotypes et scores fonctionnels</w:t>
      </w:r>
    </w:p>
    <w:p>
      <w:pPr>
        <w:jc w:val="both"/>
      </w:pPr>
      <w:r>
        <w:t>La nomenclature en allèles étoile permet de représenter des haplotypes définis par des ensembles particuliers de variants. Chez un individu diploïde, la combinaison des deux haplotypes constitue le diplotype, par exemple CYP2D6*1/*4. Le Pharmacogene Variation Consortium (PharmVar) joue un rôle central dans la standardisation des définitions d’allèles pour plusieurs pharmacogènes [2].</w:t>
      </w:r>
    </w:p>
    <w:p>
      <w:pPr>
        <w:jc w:val="both"/>
      </w:pPr>
      <w:r>
        <w:t>Pour certains pharmacogènes, une fonction est attribuée à chaque allèle — par exemple normale, diminuée ou nulle — et un système de score d’activité permet de convertir le diplotype en phénotype fonctionnel. Ce mécanisme n’est cependant pas universel : tous les pharmacogènes ne disposent pas d’un score numérique directement comparable.</w:t>
      </w:r>
    </w:p>
    <w:p>
      <w:pPr>
        <w:jc w:val="both"/>
      </w:pPr>
      <w:r>
        <w:t>La nature évolutive des définitions constitue également un enjeu de reproductibilité. van der Maas et al. ont montré en 2025 que des révisions de définitions d’allèles étoile peuvent modifier les appels de diplotypes, les prédictions de phénotypes et, dans certains cas, les recommandations concernant les statines [3]. La version des référentiels doit donc être documentée dans tout pipeline reproductible.</w:t>
      </w:r>
    </w:p>
    <w:p>
      <w:pPr>
        <w:pStyle w:val="Heading2"/>
        <w:keepNext/>
      </w:pPr>
      <w:r>
        <w:t>2.2 Ressources de connaissances pharmacogénomiques</w:t>
      </w:r>
    </w:p>
    <w:p>
      <w:pPr>
        <w:pStyle w:val="Heading3"/>
        <w:keepNext/>
      </w:pPr>
      <w:r>
        <w:t>2.2.1 PharmGKB et ClinPGx</w:t>
      </w:r>
    </w:p>
    <w:p>
      <w:pPr>
        <w:jc w:val="both"/>
      </w:pPr>
      <w:r>
        <w:t>PharmGKB constitue l’une des principales bases de connaissances dédiées à la pharmacogénomique. Elle rassemble des annotations relatives aux relations entre variants, gènes, médicaments, phénotypes pharmacologiques, recommandations cliniques et informations réglementaires. Son cadre d’évaluation distingue plusieurs niveaux de preuve, classiquement 1A, 1B, 2A, 2B, 3 et 4 [4].</w:t>
      </w:r>
    </w:p>
    <w:p>
      <w:pPr>
        <w:jc w:val="both"/>
      </w:pPr>
      <w:r>
        <w:t>Dans le présent travail, PharmGKB a servi à constituer le corpus documentaire initial, dans lequel les associations de niveau élevé ont été privilégiées afin de réduire la proportion de relations reposant sur des preuves faibles ou isolées. Les étiquettes d’action du corpus de référence ne sont toutefois plus déduites de la catégorie de phénotype PharmGKB : elles sont calculées à partir du texte des lignes directrices CPIC et DPWG (chapitre 3). Il est essentiel de distinguer le niveau de preuve d’une association pharmacogénomique de l’existence d’une recommandation clinique de prescription. Une association de niveau élevé dans PharmGKB ne signifie pas automatiquement qu’une modification thérapeutique précise est recommandée.</w:t>
      </w:r>
    </w:p>
    <w:p>
      <w:pPr>
        <w:pStyle w:val="Heading3"/>
        <w:keepNext/>
      </w:pPr>
      <w:r>
        <w:t>2.2.2 CPIC — traduction des résultats génétiques en décisions de prescription</w:t>
      </w:r>
    </w:p>
    <w:p>
      <w:pPr>
        <w:jc w:val="both"/>
      </w:pPr>
      <w:r>
        <w:t>Le Clinical Pharmacogenetics Implementation Consortium (CPIC) développe des recommandations destinées à faciliter l’utilisation de résultats pharmacogénétiques déjà disponibles au moment de la prescription [5]. Les guidelines fournissent une chaîne d’interprétation structurée allant du génotype ou diplotype vers la fonction, le phénotype puis la recommandation thérapeutique.</w:t>
      </w:r>
    </w:p>
    <w:p>
      <w:pPr>
        <w:jc w:val="both"/>
      </w:pPr>
      <w:r>
        <w:t>CPIC attribue également un niveau aux couples gène–médicament : A et B correspondent à des situations pour lesquelles les données soutiennent une modification de prescription ou une utilisation pharmacogénétique, tandis que C et D indiquent des niveaux d’actionnabilité plus faibles ou insuffisants. Le corpus de référence de PharmaGeno est construit à partir des recommandations CPIC et DPWG contenues dans les fichiers d’annotation de lignes directrices, dont les règles sont décrites au chapitre 3. Les dénombrements de gènes et médicaments couverts évoluant dans le temps, ils doivent être rattachés à une date ou à une version du référentiel [6,7].</w:t>
      </w:r>
    </w:p>
    <w:p>
      <w:pPr>
        <w:jc w:val="both"/>
      </w:pPr>
      <w:r>
        <w:t>Dans PharmaGeno, les recommandations CPIC constituent une référence clinique importante pour la construction et l’évaluation des actions. Elles ne représentent cependant pas l’ensemble des connaissances disponibles : certains médicaments peuvent être couverts par DPWG, des agences réglementaires ou d’autres consortiums sans disposer d’une guideline CPIC.</w:t>
      </w:r>
    </w:p>
    <w:p>
      <w:pPr>
        <w:pStyle w:val="Heading3"/>
        <w:keepNext/>
      </w:pPr>
      <w:r>
        <w:t>2.2.3 DPWG et autres consortiums</w:t>
      </w:r>
    </w:p>
    <w:p>
      <w:pPr>
        <w:jc w:val="both"/>
      </w:pPr>
      <w:r>
        <w:t>Le Dutch Pharmacogenetics Working Group (DPWG) constitue une autre source majeure de recommandations pharmacogénomiques [8]. D’autres réseaux, notamment le Canadian Pharmacogenomics Network for Drug Safety et le Réseau National de Pharmacogénétique, publient également des recommandations ou positions cliniques. Leurs méthodologies, niveaux de preuve et seuils d’action ne sont pas strictement identiques, ce qui explique que certaines paires gène–médicament puissent recevoir des formulations différentes selon la source.</w:t>
      </w:r>
    </w:p>
    <w:p>
      <w:pPr>
        <w:jc w:val="both"/>
      </w:pPr>
      <w:r>
        <w:t>L’utilité clinique d’une stratégie pharmacogénomique préemptive a été renforcée par l’étude PREPARE, essai multicentrique européen portant sur un panel de douze gènes et montrant une réduction significative des effets indésirables cliniquement pertinents chez les patients traités selon leur génotype [9].</w:t>
      </w:r>
    </w:p>
    <w:p>
      <w:pPr>
        <w:pStyle w:val="Heading3"/>
        <w:keepNext/>
      </w:pPr>
      <w:r>
        <w:t>2.2.4 ClinVar et sources réglementaires</w:t>
      </w:r>
    </w:p>
    <w:p>
      <w:pPr>
        <w:jc w:val="both"/>
      </w:pPr>
      <w:r>
        <w:t>ClinVar rassemble des interprétations de variants et les preuves soumises à l’appui de leur signification clinique, avec un système de statut de revue [10]. Certaines agences réglementaires, notamment la FDA, publient par ailleurs des informations pharmacogénomiques dans les notices ou tables de biomarqueurs. Ces sources complètent les guidelines, mais une mention réglementaire n’équivaut pas nécessairement à une recommandation thérapeutique détaillée.</w:t>
      </w:r>
    </w:p>
    <w:p>
      <w:pPr>
        <w:pStyle w:val="Heading3"/>
        <w:keepNext/>
      </w:pPr>
      <w:r>
        <w:t>2.2.5 1000 Genomes Project et profils pharmacogénomiques réels</w:t>
      </w:r>
    </w:p>
    <w:p>
      <w:pPr>
        <w:jc w:val="both"/>
      </w:pPr>
      <w:r>
        <w:t>L’utilisation de profils génétiques réels constitue un enjeu important dans un système multi-gènes. Une génération indépendante et aléatoire des phénotypes peut produire des combinaisons peu plausibles au niveau populationnel. La collection haute couverture du 1000 Genomes Project fournit au contraire des génomes issus d’individus réels et conserve les co-occurrences génétiques observées. Byrska-Bishop et al. ont décrit le resequencing à haute couverture de 3 202 échantillons de la cohorte élargie, incluant les 2 504 individus non apparentés de la Phase 3 [11,12].</w:t>
      </w:r>
    </w:p>
    <w:p>
      <w:pPr>
        <w:jc w:val="both"/>
      </w:pPr>
      <w:r>
        <w:t>Sherman, Claw et Lee ont appliqué PyPGx aux données WGS haute couverture de 2 504 individus non apparentés issus de 26 populations et analysé 58 pharmacogènes. Ils rapportent notamment 538 allèles étoile uniques et montrent que 98,2 % des individus présentent au moins un phénotype de réponse médicamenteuse atypique [13]. Ce travail constitue un précédent méthodologique direct pour l’utilisation de profils multi-gènes issus de 1000 Genomes dans PharmaGeno.</w:t>
      </w:r>
    </w:p>
    <w:p>
      <w:pPr>
        <w:pStyle w:val="Heading2"/>
        <w:keepNext/>
      </w:pPr>
      <w:r>
        <w:t>2.3 Outils d’interprétation pharmacogénomique</w:t>
      </w:r>
    </w:p>
    <w:p>
      <w:pPr>
        <w:pStyle w:val="Heading3"/>
        <w:keepNext/>
      </w:pPr>
      <w:r>
        <w:t>2.3.1 PharmCAT</w:t>
      </w:r>
    </w:p>
    <w:p>
      <w:pPr>
        <w:jc w:val="both"/>
      </w:pPr>
      <w:r>
        <w:t>PharmCAT est l’un des principaux outils d’interprétation pharmacogénomique à partir de données génétiques. Il accepte notamment des fichiers VCF, réalise des appels d’allèles pour les gènes supportés, traduit les génotypes en phénotypes lorsque cela est possible et génère un rapport fondé sur les recommandations disponibles [14]. Pour CYP2D6, le mode d’appel à partir du VCF reste expérimental et ne remplace pas les outils capables de traiter correctement les CNV et les variants structuraux [15].</w:t>
      </w:r>
    </w:p>
    <w:p>
      <w:pPr>
        <w:pStyle w:val="Heading3"/>
        <w:keepNext/>
      </w:pPr>
      <w:r>
        <w:t>2.3.2 Appeleurs d’allèles : Stargazer, PyPGx et Aldy</w:t>
      </w:r>
    </w:p>
    <w:p>
      <w:pPr>
        <w:jc w:val="both"/>
      </w:pPr>
      <w:r>
        <w:t>Les appeleurs d’allèles étoile répondent à un problème situé en amont de la recommandation : reconstruire les haplotypes et diplotypes à partir des données génétiques. Stargazer a notamment été développé autour de CYP2D6 et exploite la profondeur de lecture pour caractériser certaines variations structurales [16]. Aldy repose sur une formulation d’optimisation combinatoire permettant l’appel de gènes fortement polymorphes et structurellement variables [17].</w:t>
      </w:r>
    </w:p>
    <w:p>
      <w:pPr>
        <w:jc w:val="both"/>
      </w:pPr>
      <w:r>
        <w:t>PyPGx étend l’analyse à un ensemble plus large de pharmacogènes et est utilisé dans l’étude de Sherman et al. sur 1000 Genomes [13]. Ces outils sont essentiels à la chaîne pharmacogénomique, mais leur objectif principal reste l’identification du génotype pharmacogénomique et sa traduction éventuelle en phénotype, plutôt que l’apprentissage direct d’une action de prescription.</w:t>
      </w:r>
    </w:p>
    <w:p>
      <w:pPr>
        <w:pStyle w:val="Heading3"/>
        <w:keepNext/>
      </w:pPr>
      <w:r>
        <w:t>2.3.3 PAnno : une approche plus intégrée</w:t>
      </w:r>
    </w:p>
    <w:p>
      <w:pPr>
        <w:jc w:val="both"/>
      </w:pPr>
      <w:r>
        <w:t>PAnno constitue un cas important pour le positionnement de PharmaGeno, car il dépasse le simple appel d’allèles. Il reçoit un VCF germinal et des informations de population, infère des diplotypes, produit des recommandations de prescription et intègre les effets de plusieurs diplotypes associés à un même médicament. Le système combine notamment guidelines et annotations PharmGKB de haute confiance et peut classer les médicaments en catégories telles que avoid use, use with caution et routine use [18].</w:t>
      </w:r>
    </w:p>
    <w:p>
      <w:pPr>
        <w:jc w:val="both"/>
      </w:pPr>
      <w:r>
        <w:t>Il serait donc incorrect de présenter l’agrégation de plusieurs déterminants génétiques comme absente de la littérature. La différence avec PharmaGeno se situe ailleurs : PAnno reste fondé sur l’application explicite de connaissances et règles préexistantes, tandis que PharmaGeno étudie une fonction apprise combinant profil multi-gènes et représentation moléculaire du médicament.</w:t>
      </w:r>
    </w:p>
    <w:p>
      <w:pPr>
        <w:pStyle w:val="Heading3"/>
        <w:keepNext/>
      </w:pPr>
      <w:r>
        <w:t>2.3.4 Matériaux de référence et validation analytique</w:t>
      </w:r>
    </w:p>
    <w:p>
      <w:pPr>
        <w:jc w:val="both"/>
      </w:pPr>
      <w:r>
        <w:t>La validation d’un pipeline pharmacogénomique nécessite également des matériaux de référence caractérisés. Le programme GeT-RM du CDC met à disposition des échantillons ADN pour lesquels des génotypes pharmacogénétiques consensuels ont été établis par plusieurs méthodes et laboratoires. La ressource consolidée couvre actuellement plusieurs centaines d’échantillons et plusieurs dizaines de gènes/loci [19]. Des travaux spécifiques ont notamment caractérisé 179 échantillons pour CYP2D6 afin de couvrir des allèles rares ou structurellement complexes [20].</w:t>
      </w:r>
    </w:p>
    <w:p>
      <w:pPr>
        <w:jc w:val="both"/>
      </w:pPr>
      <w:r>
        <w:t>Ces matériaux constituent une base pertinente pour tester ultérieurement la robustesse analytique de la chaîne VCF → appel PGx → profil patient, indépendamment de la performance du classifieur final.</w:t>
      </w:r>
    </w:p>
    <w:p>
      <w:pPr>
        <w:pStyle w:val="Heading3"/>
        <w:keepNext/>
      </w:pPr>
      <w:r>
        <w:t>2.3.5 Espace restant</w:t>
      </w:r>
    </w:p>
    <w:p>
      <w:pPr>
        <w:jc w:val="both"/>
      </w:pPr>
      <w:r>
        <w:t>Les outils précédents couvrent efficacement les étapes variants → allèles → diplotype → phénotype → guideline, et certains produisent déjà une restitution intégrée. Le verrou de PharmaGeno ne doit donc pas être formulé comme une absence de systèmes de décision. Il concerne la combinaison de trois dimensions encore peu étudiées conjointement :</w:t>
      </w:r>
    </w:p>
    <w:p>
      <w:pPr>
        <w:ind w:left="360" w:hanging="216"/>
      </w:pPr>
      <w:r>
        <w:rPr>
          <w:b/>
        </w:rPr>
        <w:t xml:space="preserve">• </w:t>
      </w:r>
      <w:r>
        <w:t>l’apprentissage d’une action à partir d’un profil pharmacogénomique germinal multi-gènes complet ;</w:t>
      </w:r>
    </w:p>
    <w:p>
      <w:pPr>
        <w:ind w:left="360" w:hanging="216"/>
      </w:pPr>
      <w:r>
        <w:rPr>
          <w:b/>
        </w:rPr>
        <w:t xml:space="preserve">• </w:t>
      </w:r>
      <w:r>
        <w:t>l’intégration explicite d’une représentation structurale du médicament ;</w:t>
      </w:r>
    </w:p>
    <w:p>
      <w:pPr>
        <w:ind w:left="360" w:hanging="216"/>
      </w:pPr>
      <w:r>
        <w:rPr>
          <w:b/>
        </w:rPr>
        <w:t xml:space="preserve">• </w:t>
      </w:r>
      <w:r>
        <w:t>l’évaluation de la généralisation à des médicaments entièrement absents de l’ensemble d’apprentissage.</w:t>
      </w:r>
    </w:p>
    <w:p>
      <w:pPr>
        <w:pStyle w:val="Heading2"/>
        <w:keepNext/>
      </w:pPr>
      <w:r>
        <w:t>2.4 Apprentissage automatique et Deep Learning en pharmacogénomique germinale</w:t>
      </w:r>
    </w:p>
    <w:p>
      <w:pPr>
        <w:pStyle w:val="Heading3"/>
        <w:keepNext/>
      </w:pPr>
      <w:r>
        <w:t>2.4.1 Machine Learning classique : un précédent clinique proche</w:t>
      </w:r>
    </w:p>
    <w:p>
      <w:pPr>
        <w:jc w:val="both"/>
      </w:pPr>
      <w:r>
        <w:t>Kidwai-Khan et al. ont publié en 2022 un prototype d’aide à la décision combinant données du dossier médical électronique et données génétiques afin de prédire des événements indésirables potentiellement évitables liés aux interactions pharmacogénomiques [21]. Random Forest, SVM, XGBoost, k-NN et arbre de décision ont été comparés. L’ajout de l’information génétique améliore les performances et XGBoost est retenu comme modèle principal, notamment pour ses résultats sur la classe minoritaire.</w:t>
      </w:r>
    </w:p>
    <w:p>
      <w:pPr>
        <w:jc w:val="both"/>
      </w:pPr>
      <w:r>
        <w:t>Cette étude ne résout pas la même tâche que PharmaGeno : sa cible est un événement indésirable potentiel construit à partir de données cliniques et génétiques, alors que PharmaGeno prédit une catégorie d’action pour un couple profil patient–médicament. Elle constitue néanmoins une baseline conceptuelle importante montrant la pertinence des méthodes d’ensemble sur des données PGx structurées.</w:t>
      </w:r>
    </w:p>
    <w:p>
      <w:pPr>
        <w:pStyle w:val="Heading3"/>
        <w:keepNext/>
      </w:pPr>
      <w:r>
        <w:t>2.4.2 Deep Learning germinal : DL-ADR et DGANet</w:t>
      </w:r>
    </w:p>
    <w:p>
      <w:pPr>
        <w:jc w:val="both"/>
      </w:pPr>
      <w:r>
        <w:t>Le Deep Learning n’est pas totalement absent de la pharmacogénomique germinale. DL-ADR, publié en 2016, utilise des combinaisons alléliques diploïdes portant sur cinq SNP de CYP2D6 et CYP1A2 ainsi que la dose du médicament pour prédire des catégories d’effets indésirables à l’aide d’une architecture profonde [22]. Ce travail constitue le précédent germinal profond le plus proche du présent mémoire.</w:t>
      </w:r>
    </w:p>
    <w:p>
      <w:pPr>
        <w:jc w:val="both"/>
      </w:pPr>
      <w:r>
        <w:t>La distinction est toutefois structurante : DL-ADR ne représente pas la molécule elle-même et travaille dans un contexte restreint en gènes et variants. PharmaGeno étend l’entrée génétique à un profil multi-gènes et introduit une représentation chimique explicite du médicament, ce qui permet de poser une question que DL-ADR ne pouvait pas tester : la généralisation vers une molécule jamais vue pendant l’entraînement.</w:t>
      </w:r>
    </w:p>
    <w:p>
      <w:pPr>
        <w:jc w:val="both"/>
      </w:pPr>
      <w:r>
        <w:t>Plus récemment, DGANet combine structure chimique, expression génique, interactions chimique–gène et associations gène–maladie pour prédire des associations médicament–effet indésirable [23]. L’unité statistique reste cependant le médicament et l’effet indésirable, non un patient germinal individualisé. La présence d’une structure moléculaire et de données géniques dans DGANet ne suffit donc pas à rendre les tâches équivalentes.</w:t>
      </w:r>
    </w:p>
    <w:p>
      <w:pPr>
        <w:pStyle w:val="Heading3"/>
        <w:keepNext/>
      </w:pPr>
      <w:r>
        <w:t>2.4.3 Modèles de langage et réplication des recommandations</w:t>
      </w:r>
    </w:p>
    <w:p>
      <w:pPr>
        <w:jc w:val="both"/>
      </w:pPr>
      <w:r>
        <w:t>Les grands modèles de langage constituent une direction récente. Zack et al. ont évalué en 2025 la capacité de LLM à reproduire des recommandations pharmacogénomiques fondées sur des guidelines [24]. Les modèles adaptés au domaine peuvent obtenir de bonnes performances, mais la tâche consiste essentiellement à répliquer une recommandation existante à partir d’un contexte documentaire. Elle diffère d’une fonction apprise à partir d’un profil génétique individuel et d’une structure moléculaire.</w:t>
      </w:r>
    </w:p>
    <w:p>
      <w:pPr>
        <w:pStyle w:val="Heading3"/>
        <w:keepNext/>
      </w:pPr>
      <w:r>
        <w:t>2.4.4 Ce que dit la littérature comparative récente</w:t>
      </w:r>
    </w:p>
    <w:p>
      <w:pPr>
        <w:jc w:val="both"/>
      </w:pPr>
      <w:r>
        <w:t>Une revue systématique et méta-analyse multiniveau publiée en 2026 par Cappello et al. sur la prédiction d’effets indésirables par Machine Learning rapporte une AUC agrégée de 0,841 (IC 95 % 0,789–0,883) et ne met pas en évidence de supériorité significative des réseaux neuronaux sur les algorithmes traditionnels après prise en compte de la dépendance entre études [25]. Les auteurs qualifient eux-mêmes cette AUC agrégée de résumé descriptif et classent le niveau de preuve comme faible selon GRADE.</w:t>
      </w:r>
    </w:p>
    <w:p>
      <w:pPr>
        <w:pStyle w:val="Heading2"/>
        <w:keepNext/>
      </w:pPr>
      <w:r>
        <w:t>2.5 Deep Learning et prédiction de réponse médicamenteuse en oncologie</w:t>
      </w:r>
    </w:p>
    <w:p>
      <w:pPr>
        <w:pStyle w:val="Heading3"/>
        <w:keepNext/>
      </w:pPr>
      <w:r>
        <w:t>2.5.1 Une littérature largement dominée par l’oncologie</w:t>
      </w:r>
    </w:p>
    <w:p>
      <w:pPr>
        <w:jc w:val="both"/>
      </w:pPr>
      <w:r>
        <w:t>La littérature du Deep Learning consacrée à la réponse médicamenteuse est beaucoup plus abondante en oncologie de précision. La revue systématique de Partin et al. a identifié 61 publications revues par les pairs consacrées à des approches profondes de prédiction de réponse anticancéreuse [26]. Les jeux de données reposent majoritairement sur des lignées cellulaires, avec des sorties telles que l’IC50 ou l’AUC.</w:t>
      </w:r>
    </w:p>
    <w:p>
      <w:pPr>
        <w:jc w:val="center"/>
      </w:pPr>
      <w:r>
        <w:rPr>
          <w:rFonts w:ascii="Cambria Math" w:hAnsi="Cambria Math"/>
          <w:b/>
        </w:rPr>
        <w:t>profil tumoral ou cellulaire + médicament → sensibilité thérapeutique</w:t>
      </w:r>
    </w:p>
    <w:p>
      <w:pPr>
        <w:jc w:val="both"/>
      </w:pPr>
      <w:r>
        <w:t>Cette formulation est différente de celle de PharmaGeno, qui utilise un profil germinal et cherche à prédire une action pharmacogénomique de prescription.</w:t>
      </w:r>
    </w:p>
    <w:p>
      <w:pPr>
        <w:pStyle w:val="Heading3"/>
        <w:keepNext/>
      </w:pPr>
      <w:r>
        <w:t>2.5.2 Architectures représentatives</w:t>
      </w:r>
    </w:p>
    <w:p>
      <w:pPr>
        <w:jc w:val="both"/>
      </w:pPr>
      <w:r>
        <w:t>MOLI emploie une intégration tardive de plusieurs modalités omiques par réseaux neuronaux profonds [27]. DeepCDR combine plusieurs profils omiques de cellules cancéreuses avec une représentation graphique apprise de la structure moléculaire du médicament [28]. HiDRA introduit une architecture hiérarchique avec attention pour prédire la réponse de cellules cancéreuses et analyser les contributions de gènes, voies biologiques et médicaments [29].</w:t>
      </w:r>
    </w:p>
    <w:p>
      <w:pPr>
        <w:jc w:val="both"/>
      </w:pPr>
      <w:r>
        <w:t>Ces approches fournissent un précédent architectural utile : elles montrent comment traiter séparément une représentation biologique et une représentation moléculaire avant leur fusion. Elles ne constituent toutefois pas une validation directe du problème pharmacogénomique germinal.</w:t>
      </w:r>
    </w:p>
    <w:p>
      <w:pPr>
        <w:pStyle w:val="Heading3"/>
        <w:keepNext/>
      </w:pPr>
      <w:r>
        <w:t>2.5.3 Pourquoi ces travaux ne sont pas directement transposables</w:t>
      </w:r>
    </w:p>
    <w:p>
      <w:pPr>
        <w:jc w:val="both"/>
      </w:pPr>
      <w:r>
        <w:t>Trois différences principales doivent être maintenues. Premièrement, l’entité biologique est le plus souvent une lignée cellulaire ou un tissu tumoral, et non un individu défini par son génome germinal. Deuxièmement, la cible est une mesure de sensibilité ou de réponse tumorale, et non une conduite de prescription. Troisièmement, les déterminants sont principalement somatiques, transcriptomiques ou multi-omiques, alors que la pharmacogénomique clinique germinale repose sur des variants hérités, des diplotypes et des fonctions pharmacogénétiques.</w:t>
      </w:r>
    </w:p>
    <w:p>
      <w:pPr>
        <w:pStyle w:val="Heading2"/>
        <w:keepNext/>
      </w:pPr>
      <w:r>
        <w:t>2.6 Représentation informatique des médicaments</w:t>
      </w:r>
    </w:p>
    <w:p>
      <w:pPr>
        <w:pStyle w:val="Heading3"/>
        <w:keepNext/>
      </w:pPr>
      <w:r>
        <w:t>2.6.1 Descripteurs physico-chimiques</w:t>
      </w:r>
    </w:p>
    <w:p>
      <w:pPr>
        <w:jc w:val="both"/>
      </w:pPr>
      <w:r>
        <w:t>Une molécule doit être convertie en représentation numérique pour être exploitée par un modèle. Les descripteurs physico-chimiques classiques incluent notamment la masse moléculaire, le coefficient de partage, le nombre de donneurs et d’accepteurs de liaisons hydrogène, le nombre de liaisons rotatives et la surface polaire topologique. Ils sont interprétables mais résument la molécule de manière globale.</w:t>
      </w:r>
    </w:p>
    <w:p>
      <w:pPr>
        <w:pStyle w:val="Heading3"/>
        <w:keepNext/>
      </w:pPr>
      <w:r>
        <w:t>2.6.2 Empreintes moléculaires</w:t>
      </w:r>
    </w:p>
    <w:p>
      <w:pPr>
        <w:jc w:val="both"/>
      </w:pPr>
      <w:r>
        <w:t>Les empreintes ECFP/Morgan décrivent les environnements atomiques locaux par expansion itérative du voisinage des atomes. Elles ont été introduites comme des empreintes topologiques destinées notamment à la modélisation structure–activité et fournissent une représentation simple, reproductible et compatible avec les modèles classiques comme avec les réseaux neuronaux [30]. Leur hachage peut toutefois provoquer des collisions de bits.</w:t>
      </w:r>
    </w:p>
    <w:p>
      <w:pPr>
        <w:pStyle w:val="Heading3"/>
        <w:keepNext/>
      </w:pPr>
      <w:r>
        <w:t>2.6.3 Représentations apprises</w:t>
      </w:r>
    </w:p>
    <w:p>
      <w:pPr>
        <w:jc w:val="both"/>
      </w:pPr>
      <w:r>
        <w:t>Les réseaux de neurones sur graphes, les transformeurs moléculaires et les modèles pré-entraînés apprennent des représentations adaptées à une tâche. Leur complexité supplémentaire ne garantit cependant pas un gain systématique sur des corpus modestes. Un benchmark de 2025 portant sur 25 modèles moléculaires pré-entraînés et 25 jeux de données rapporte que la baseline ECFP reste extrêmement compétitive et qu’une amélioration neuronale significative n’est pas systématiquement observée [31]. Cette source est un préprint arXiv et doit être interprétée comme telle.</w:t>
      </w:r>
    </w:p>
    <w:p>
      <w:pPr>
        <w:pStyle w:val="Heading3"/>
        <w:keepNext/>
      </w:pPr>
      <w:r>
        <w:t>2.6.4 Choix retenu dans PharmaGeno</w:t>
      </w:r>
    </w:p>
    <w:p>
      <w:pPr>
        <w:jc w:val="center"/>
      </w:pPr>
      <w:r>
        <w:rPr>
          <w:rFonts w:ascii="Cambria Math" w:hAnsi="Cambria Math"/>
          <w:b/>
        </w:rPr>
        <w:t>512 bits Morgan + 6 descripteurs physico-chimiques</w:t>
      </w:r>
    </w:p>
    <w:p>
      <w:pPr>
        <w:jc w:val="both"/>
      </w:pPr>
      <w:r>
        <w:t>Ce choix constitue une baseline structurale contrôlable, et non l’affirmation qu’une empreinte Morgan serait intrinsèquement supérieure à une représentation apprise. L’objectif expérimental est d’isoler l’apport de l’information chimique en comparant un identifiant de médicament sans information structurale, les descripteurs globaux et la représentation Morgan complète. Les fingerprints sont calculés avec RDKit [32].</w:t>
      </w:r>
    </w:p>
    <w:p>
      <w:pPr>
        <w:pStyle w:val="Heading2"/>
        <w:keepNext/>
      </w:pPr>
      <w:r>
        <w:t>2.7 Architecture multimodale patient–médicament</w:t>
      </w:r>
    </w:p>
    <w:p>
      <w:pPr>
        <w:pStyle w:val="Heading3"/>
        <w:keepNext/>
      </w:pPr>
      <w:r>
        <w:t>2.7.1 Principe de fusion</w:t>
      </w:r>
    </w:p>
    <w:p>
      <w:pPr>
        <w:jc w:val="both"/>
      </w:pPr>
      <w:r>
        <w:t>La tâche de PharmaGeno peut être formulée comme une fusion de deux modalités hétérogènes : un profil pharmacogénomique multi-gènes et une représentation moléculaire du médicament. Une stratégie à deux branches permet de transformer séparément chaque modalité avant leur fusion. Cette logique est proche, sur le plan architectural, de MOLI ou DeepCDR, tout en s’appliquant à des données biologiques et à une cible différentes [27,28].</w:t>
      </w:r>
    </w:p>
    <w:p>
      <w:pPr>
        <w:jc w:val="both"/>
      </w:pPr>
      <w:r>
        <w:t>La fusion tardive est particulièrement adaptée lorsque les modalités diffèrent fortement en nature et en dimension, mais elle ne doit pas être considérée comme universellement supérieure à la concaténation précoce. Son intérêt doit être évalué sur la tâche étudiée.</w:t>
      </w:r>
    </w:p>
    <w:p>
      <w:pPr>
        <w:pStyle w:val="Heading3"/>
        <w:keepNext/>
      </w:pPr>
      <w:r>
        <w:t>2.7.2 Généralisation à des molécules non vues</w:t>
      </w:r>
    </w:p>
    <w:p>
      <w:pPr>
        <w:jc w:val="both"/>
      </w:pPr>
      <w:r>
        <w:t>Si le même médicament apparaît dans l’apprentissage et le test, une bonne performance peut résulter en partie de l’identification implicite de cette molécule. Un protocole drug-held-out est donc nécessaire pour évaluer si l’information structurale permet un transfert vers des médicaments totalement absents de l’entraînement.</w:t>
      </w:r>
    </w:p>
    <w:p>
      <w:pPr>
        <w:pStyle w:val="Heading2"/>
        <w:keepNext/>
      </w:pPr>
      <w:r>
        <w:t>2.8 Explicabilité et sécurité décisionnelle</w:t>
      </w:r>
    </w:p>
    <w:p>
      <w:pPr>
        <w:pStyle w:val="Heading3"/>
        <w:keepNext/>
      </w:pPr>
      <w:r>
        <w:t>2.8.1 SHAP et interprétation des modèles</w:t>
      </w:r>
    </w:p>
    <w:p>
      <w:pPr>
        <w:jc w:val="both"/>
      </w:pPr>
      <w:r>
        <w:t>SHAP fournit un cadre unifié d’attribution de l’importance des variables à une prédiction individuelle [33]. Pour Random Forest et XGBoost, il permet d’identifier les variables génétiques et moléculaires qui contribuent le plus à une sortie donnée. Une explication visuellement plausible ne constitue cependant pas, à elle seule, une validation biologique.</w:t>
      </w:r>
    </w:p>
    <w:p>
      <w:pPr>
        <w:pStyle w:val="Heading3"/>
        <w:keepNext/>
      </w:pPr>
      <w:r>
        <w:t>2.8.2 Concordance avec les connaissances pharmacogénomiques</w:t>
      </w:r>
    </w:p>
    <w:p>
      <w:pPr>
        <w:jc w:val="both"/>
      </w:pPr>
      <w:r>
        <w:t>Dans PharmaGeno, l’explicabilité doit être évaluée en confrontant les variables mises en avant par le modèle aux connaissances pharmacogénomiques attendues. Par exemple, pour une prédiction concernant le clopidogrel, une contribution élevée de CYP2C19 est cohérente avec les connaissances établies. Une mesure Top-k peut vérifier si les gènes documentés figurent parmi les variables les plus importantes. Cette analyse reste complémentaire : elle n’est pas une validation biologique indépendante, puisque les labels proviennent eux-mêmes de connaissances pharmacogénomiques.</w:t>
      </w:r>
    </w:p>
    <w:p>
      <w:pPr>
        <w:pStyle w:val="Heading3"/>
        <w:keepNext/>
      </w:pPr>
      <w:r>
        <w:t>2.8.3 Attention et causalité</w:t>
      </w:r>
    </w:p>
    <w:p>
      <w:pPr>
        <w:jc w:val="both"/>
      </w:pPr>
      <w:r>
        <w:t>Les poids d’attention indiquent comment un réseau pondère ses entrées, mais ils ne doivent pas être interprétés comme une preuve de causalité ni comme une explication fidèle par défaut. Jain et Wallace ont notamment montré que l’attention ne doit pas être assimilée automatiquement à une explication [34]. GeneAttention sera donc analysé comme un signal interne du modèle et non comme une preuve biologique.</w:t>
      </w:r>
    </w:p>
    <w:p>
      <w:pPr>
        <w:pStyle w:val="Heading3"/>
        <w:keepNext/>
      </w:pPr>
      <w:r>
        <w:t>2.8.4 Asymétrie des erreurs cliniques</w:t>
      </w:r>
    </w:p>
    <w:p>
      <w:pPr>
        <w:jc w:val="both"/>
      </w:pPr>
      <w:r>
        <w:t>Dans une application clinique, toutes les erreurs de classification n’ont pas le même coût. Classer à tort une situation à éviter comme STANDARD peut être plus grave que l’erreur inverse. La littérature sur l’apprentissage sensible au coût en médecine souligne précisément que les faux négatifs et les faux positifs peuvent avoir des conséquences différentes et justifient des métriques ou pertes asymétriques [35].</w:t>
      </w:r>
    </w:p>
    <w:p>
      <w:pPr>
        <w:jc w:val="both"/>
      </w:pPr>
      <w:r>
        <w:t>Cette considération motive, dans PharmaGeno, l’utilisation de métriques complémentaires au Macro-F1, notamment le rappel de la classe EVITER et un Critical Error Rate conçu pour quantifier les erreurs les plus préoccupantes. Dans sa forme stricte, le CER est la proportion de situations à éviter qui ne sont pas prédites EVITER, soit 1 − rappel de la classe EVITER ; une situation à éviter prédite ADAPTER_DOSE y est donc comptée comme une erreur critique. Ces métriques ne remplacent pas une validation clinique ; elles rendent simplement l’évaluation plus cohérente avec la nature du problème.</w:t>
      </w:r>
    </w:p>
    <w:p>
      <w:pPr>
        <w:pStyle w:val="Heading2"/>
        <w:keepNext/>
      </w:pPr>
      <w:r>
        <w:t>2.9 Verrou scientifique et positionnement de PharmaGeno</w:t>
      </w:r>
    </w:p>
    <w:p>
      <w:pPr>
        <w:pStyle w:val="Heading3"/>
        <w:keepNext/>
      </w:pPr>
      <w:r>
        <w:t>2.9.1 Deux familles de travaux et plusieurs précédents partiels</w:t>
      </w:r>
    </w:p>
    <w:p>
      <w:pPr>
        <w:jc w:val="both"/>
      </w:pPr>
      <w:r>
        <w:t>L’état de l’art met en évidence deux grandes familles. La première correspond aux systèmes cliniques fondés sur des connaissances explicites, tels que PharmCAT ou PAnno, qui traduisent variants, diplotypes et phénotypes en recommandations à partir de tables et règles [14,18]. La seconde correspond aux modèles appris de réponse médicamenteuse, très développés en oncologie, qui combinent données biologiques et représentation du médicament pour prédire une sensibilité [26–29].</w:t>
      </w:r>
    </w:p>
    <w:p>
      <w:pPr>
        <w:jc w:val="both"/>
      </w:pPr>
      <w:r>
        <w:t>Entre ces deux familles existent des précédents partiels importants : DL-ADR combine génotype germinal et Deep Learning mais sans représentation structurale du médicament [22] ; DGANet combine structure chimique et information génique mais au niveau médicament–effet indésirable plutôt qu’au niveau patient [23] ; les LLM peuvent répliquer des recommandations existantes mais ne construisent pas la même fonction prédictive [24].</w:t>
      </w:r>
    </w:p>
    <w:p>
      <w:pPr>
        <w:pStyle w:val="Heading3"/>
        <w:keepNext/>
      </w:pPr>
      <w:r>
        <w:t>2.9.2 Verrou scientifique</w:t>
      </w:r>
    </w:p>
    <w:p>
      <w:pPr>
        <w:jc w:val="both"/>
      </w:pPr>
      <w:r>
        <w:t>À notre connaissance, sur la base de la littérature examinée, nous n’avons pas identifié de travail combinant explicitement, dans une même tâche, les trois éléments suivants :</w:t>
      </w:r>
    </w:p>
    <w:p>
      <w:pPr>
        <w:ind w:left="360" w:hanging="216"/>
      </w:pPr>
      <w:r>
        <w:rPr>
          <w:b/>
        </w:rPr>
        <w:t xml:space="preserve">1. </w:t>
      </w:r>
      <w:r>
        <w:t>un profil pharmacogénomique germinal multi-gènes représentant un patient ;</w:t>
      </w:r>
    </w:p>
    <w:p>
      <w:pPr>
        <w:ind w:left="360" w:hanging="216"/>
      </w:pPr>
      <w:r>
        <w:rPr>
          <w:b/>
        </w:rPr>
        <w:t xml:space="preserve">2. </w:t>
      </w:r>
      <w:r>
        <w:t>une représentation moléculaire explicite du médicament ;</w:t>
      </w:r>
    </w:p>
    <w:p>
      <w:pPr>
        <w:ind w:left="360" w:hanging="216"/>
      </w:pPr>
      <w:r>
        <w:rPr>
          <w:b/>
        </w:rPr>
        <w:t xml:space="preserve">3. </w:t>
      </w:r>
      <w:r>
        <w:t>une prédiction apprise d’une catégorie d’action de prescription pharmacogénomique.</w:t>
      </w:r>
    </w:p>
    <w:p>
      <w:pPr>
        <w:jc w:val="both"/>
      </w:pPr>
      <w:r>
        <w:t>Cette revendication est volontairement étroite : elle ne repose pas sur l’idée que le Deep Learning ou l’agrégation multi-gènes seraient absents de la littérature, ce qui serait faux. Elle porte sur la conjonction de ces trois éléments dans une même unité de décision patient–médicament.</w:t>
      </w:r>
    </w:p>
    <w:p>
      <w:pPr>
        <w:jc w:val="both"/>
      </w:pPr>
      <w:r>
        <w:t>Une difficulté méthodologique demeure : les étiquettes sont dérivées de connaissances et recommandations existantes, calculées de façon déterministe à partir de règles. Sur les cas directement couverts, une performance élevée mesure donc d’abord la fidélité du modèle aux lignes directrices, c’est-à-dire sa capacité à reproduire et combiner la connaissance du corpus, et non la découverte d’une nouvelle vérité clinique. Cette limite est assumée dans la conception : l’apport propre du modèle est jugé sur des protocoles qui sortent de la simple reproduction des règles (médicaments exclus de l’apprentissage, calibration des probabilités, profils rares), et les métriques de fidélité sont rapportées comme telles.</w:t>
      </w:r>
    </w:p>
    <w:p>
      <w:pPr>
        <w:pStyle w:val="Heading4"/>
        <w:keepNext/>
      </w:pPr>
      <w:r>
        <w:t>2.9.2.1 Intégration multi-gènes</w:t>
      </w:r>
    </w:p>
    <w:p>
      <w:pPr>
        <w:jc w:val="both"/>
      </w:pPr>
      <w:r>
        <w:t>Les données populationnelles montrent que les profils pharmacogénomiques atypiques sont fréquents : l’analyse de Sherman et al. rapporte qu’au moins un phénotype de réponse atypique est observé chez 98,2 % des individus étudiés [13]. Dans le corpus de référence de PharmaGeno, qui compte 76 médicaments dont les étiquettes sont calculées à partir des règles des lignes directrices, l’audit interne mesure que 32 médicaments portent une action constante, 38 une action déterminée par un seul gène et 6 (amitriptyline, clomipramine, doxépine, imipramine, sertraline et trimipramine) une action pour laquelle aucun gène pris isolément ne suffit à reproduire l’ensemble des actions observées. Le corpus documentaire d’origine, dont les étiquettes ne concordaient avec les règles que dans 19,1 % des cas, donnait une proportion bien plus élevée (186 médicaments sur 530) ; cette valeur n’est pas retenue comme justification, car elle dépend d’étiquettes non validées. Le constat actuel porte sur la cohérence fonctionnelle observable dans les données et non sur une obligation clinique : sur le périmètre couvert par les lignes directrices, la décision dépend le plus souvent d’un seul gène. Il ne tranche donc pas RQ1, qui sera testée par une comparaison explicite single-gene versus multi-gènes ; un résultat nul sera rapporté tel quel. Le critère de mesure est détaillé au chapitre 3.</w:t>
      </w:r>
    </w:p>
    <w:p>
      <w:pPr>
        <w:pStyle w:val="Heading4"/>
        <w:keepNext/>
      </w:pPr>
      <w:r>
        <w:t>2.9.2.2 Apport de la représentation moléculaire</w:t>
      </w:r>
    </w:p>
    <w:p>
      <w:pPr>
        <w:jc w:val="both"/>
      </w:pPr>
      <w:r>
        <w:t>La branche médicament n’a de valeur que si la structure apporte un signal mesurable au-delà de l’identité du médicament. Un modèle alimenté par le seul profil pharmacogénomique ne pourrait pas distinguer les médicaments entre eux, puisque l’action dépend du couple patient–médicament. L’étude d’ablation doit donc comparer au minimum : profil PGx + identifiant du médicament, sans information structurale ; profil PGx + descripteurs physico-chimiques ; profil PGx + Morgan + descripteurs. Cette comparaison isole l’apport de la structure et évite d’attribuer au fingerprint un bénéfice non démontré.</w:t>
      </w:r>
    </w:p>
    <w:p>
      <w:pPr>
        <w:pStyle w:val="Heading4"/>
        <w:keepNext/>
      </w:pPr>
      <w:r>
        <w:t>2.9.2.3 Généralisation à des médicaments non vus</w:t>
      </w:r>
    </w:p>
    <w:p>
      <w:pPr>
        <w:jc w:val="both"/>
      </w:pPr>
      <w:r>
        <w:t>Le corpus documentaire comprend 530 médicaments, mais seuls 76 disposent d’étiquettes calculées à partir d’une règle de ligne directrice utilisable, dont 32 n’ont qu’une seule classe d’action. Ce périmètre limite la portée du test de généralisation, qui ne pourra porter que sur ces médicaments. Il ne signifie pas que tous les autres médicaments soient dépourvus de connaissances dans d’autres sources, mais il met en évidence la couverture incomplète d’un seul référentiel. Le test décisif consiste à retirer complètement certains médicaments de l’apprentissage et à mesurer la performance sur ces médicaments. Une éventuelle généralisation moléculaire ne sera revendiquée que si elle est démontrée par ce protocole drug-held-out.</w:t>
      </w:r>
    </w:p>
    <w:p>
      <w:pPr>
        <w:pStyle w:val="Heading3"/>
        <w:keepNext/>
      </w:pPr>
      <w:r>
        <w:t>2.9.3 Positionnement de PharmaGeno</w:t>
      </w:r>
    </w:p>
    <w:p>
      <w:pPr>
        <w:jc w:val="both"/>
      </w:pPr>
      <w:r>
        <w:t>PharmaGeno ne vise pas à remplacer CPIC, DPWG, PharmGKB, PharmCAT ou PAnno. Lorsque des recommandations cliniques validées existent, elles demeurent la référence. Le rôle scientifique du modèle est d’étudier dans quelle mesure une approche apprise peut intégrer conjointement un profil pharmacogénomique germinal multi-gènes et une représentation moléculaire du médicament pour prédire une action, puis déterminer objectivement ce que cette approche apporte par rapport aux modèles classiques et aux systèmes fondés sur des règles.</w:t>
      </w:r>
    </w:p>
    <w:p>
      <w:pPr>
        <w:jc w:val="both"/>
      </w:pPr>
      <w:r>
        <w:t>Le Deep Learning n’est donc pas posé comme une solution nécessairement supérieure. Random Forest et XGBoost constituent des comparateurs essentiels. Le précédent de Kidwai-Khan et la méta-analyse de Cappello et al. montrent que la supériorité des réseaux neuronaux sur les données structurées pharmacologiques ou pharmacogénomiques ne peut pas être présumée [21,25]. Un résultat XGBoost &gt; Deep Learning doit être interprété comme un résultat scientifique sur l’adéquation modèle–données, et non comme l’échec du sujet.</w:t>
      </w:r>
    </w:p>
    <w:p>
      <w:pPr>
        <w:pStyle w:val="Heading2"/>
        <w:keepNext/>
      </w:pPr>
      <w:r>
        <w:t>Références du chapitre 2</w:t>
      </w:r>
    </w:p>
    <w:p>
      <w:pPr>
        <w:spacing w:after="60"/>
        <w:ind w:hanging="360" w:left="360"/>
      </w:pPr>
      <w:r>
        <w:t>[1] Relling MV, Evans WE. Pharmacogenomics in the clinic. Nature. 2015;526(7573):343-350. doi:10.1038/nature15817.</w:t>
      </w:r>
    </w:p>
    <w:p>
      <w:pPr>
        <w:spacing w:after="60"/>
        <w:ind w:hanging="360" w:left="360"/>
      </w:pPr>
      <w:r>
        <w:t>[2] Gaedigk A, Ingelman-Sundberg M, Miller NA, Leeder JS, Whirl-Carrillo M, Klein TE. The Pharmacogene Variation (PharmVar) Consortium: Incorporation of the Human Cytochrome P450 (CYP) Allele Nomenclature Database. Clin Pharmacol Ther. 2018;103(3):399-401. doi:10.1002/cpt.910.</w:t>
      </w:r>
    </w:p>
    <w:p>
      <w:pPr>
        <w:spacing w:after="60"/>
        <w:ind w:hanging="360" w:left="360"/>
      </w:pPr>
      <w:r>
        <w:t>[3] van der Maas S, Denil S, Maes B, Ertaylan G, Volders PJ. Dynamic star allele definitions in Pharmacogenomics: impact on diplotype calls, phenotype predictions and statin therapy recommendations. Front Pharmacol. 2025;16:1584658. doi:10.3389/fphar.2025.1584658.</w:t>
      </w:r>
    </w:p>
    <w:p>
      <w:pPr>
        <w:spacing w:after="60"/>
        <w:ind w:hanging="360" w:left="360"/>
      </w:pPr>
      <w:r>
        <w:t>[4] Whirl-Carrillo M, Huddart R, Gong L, Sangkuhl K, Thorn CF, Whaley R, Klein TE. An Evidence-Based Framework for Evaluating Pharmacogenomics Knowledge for Personalized Medicine. Clin Pharmacol Ther. 2021;110(3):563-572. doi:10.1002/cpt.2350.</w:t>
      </w:r>
    </w:p>
    <w:p>
      <w:pPr>
        <w:spacing w:after="60"/>
        <w:ind w:hanging="360" w:left="360"/>
      </w:pPr>
      <w:r>
        <w:t>[5] Relling MV, Klein TE. CPIC: Clinical Pharmacogenetics Implementation Consortium of the Pharmacogenomics Research Network. Clin Pharmacol Ther. 2011;89(3):464-467. doi:10.1038/clpt.2010.279.</w:t>
      </w:r>
    </w:p>
    <w:p>
      <w:pPr>
        <w:spacing w:after="60"/>
        <w:ind w:hanging="360" w:left="360"/>
      </w:pPr>
      <w:r>
        <w:t>[6] Caudle KE, et al. Advancing Clinical Pharmacogenomics Worldwide Through the Clinical Pharmacogenetics Implementation Consortium (CPIC). Clin Pharmacol Ther. 2025. doi:10.1002/cpt.70005.</w:t>
      </w:r>
    </w:p>
    <w:p>
      <w:pPr>
        <w:spacing w:after="60"/>
        <w:ind w:hanging="360" w:left="360"/>
      </w:pPr>
      <w:r>
        <w:t>[7] Clinical Pharmacogenetics Implementation Consortium. Genes-Drugs. https://cpicpgx.org/genes-drugs/ (consulté le 6 octobre 2026).</w:t>
      </w:r>
    </w:p>
    <w:p>
      <w:pPr>
        <w:spacing w:after="60"/>
        <w:ind w:hanging="360" w:left="360"/>
      </w:pPr>
      <w:r>
        <w:t>[8] Swen JJ, et al. Pharmacogenetics: from bench to byte - an update of guidelines. Clin Pharmacol Ther. 2011;89(5):662-673. doi:10.1038/clpt.2011.34.</w:t>
      </w:r>
    </w:p>
    <w:p>
      <w:pPr>
        <w:spacing w:after="60"/>
        <w:ind w:hanging="360" w:left="360"/>
      </w:pPr>
      <w:r>
        <w:t>[9] Swen JJ, van der Wouden CH, Manson LE, et al. A 12-gene pharmacogenetic panel to prevent adverse drug reactions: an open-label, multicentre, controlled, cluster-randomised crossover implementation study. Lancet. 2023;401(10374):347-356. doi:10.1016/S0140-6736(22)01841-4.</w:t>
      </w:r>
    </w:p>
    <w:p>
      <w:pPr>
        <w:spacing w:after="60"/>
        <w:ind w:hanging="360" w:left="360"/>
      </w:pPr>
      <w:r>
        <w:t>[10] Landrum MJ, et al. ClinVar: improving access to variant interpretations and supporting evidence. Nucleic Acids Res. 2018;46(D1):D1062-D1067. doi:10.1093/nar/gkx1153.</w:t>
      </w:r>
    </w:p>
    <w:p>
      <w:pPr>
        <w:spacing w:after="60"/>
        <w:ind w:hanging="360" w:left="360"/>
      </w:pPr>
      <w:r>
        <w:t>[11] Byrska-Bishop M, Evani US, Zhao X, et al. High-coverage whole-genome sequencing of the expanded 1000 Genomes Project cohort including 602 trios. Cell. 2022;185(18):3426-3440.e19. doi:10.1016/j.cell.2022.08.004.</w:t>
      </w:r>
    </w:p>
    <w:p>
      <w:pPr>
        <w:spacing w:after="60"/>
        <w:ind w:hanging="360" w:left="360"/>
      </w:pPr>
      <w:r>
        <w:t>[12] International Genome Sample Resource. 1000 Genomes 30x on GRCh38. https://www.internationalgenome.org/data-portal/data-collection/1000genomes_30x (consulté le 6 octobre 2026).</w:t>
      </w:r>
    </w:p>
    <w:p>
      <w:pPr>
        <w:spacing w:after="60"/>
        <w:ind w:hanging="360" w:left="360"/>
      </w:pPr>
      <w:r>
        <w:t>[13] Sherman CA, Claw KG, Lee SB. Pharmacogenetic analysis of structural variation in the 1000 genomes project using whole genome sequences. Sci Rep. 2024;14:22774. doi:10.1038/s41598-024-73748-3.</w:t>
      </w:r>
    </w:p>
    <w:p>
      <w:pPr>
        <w:spacing w:after="60"/>
        <w:ind w:hanging="360" w:left="360"/>
      </w:pPr>
      <w:r>
        <w:t>[14] Sangkuhl K, Whirl-Carrillo M, Whaley RM, et al. Pharmacogenomics Clinical Annotation Tool (PharmCAT). Clin Pharmacol Ther. 2020;107(1):203-210. doi:10.1002/cpt.1568.</w:t>
      </w:r>
    </w:p>
    <w:p>
      <w:pPr>
        <w:spacing w:after="60"/>
        <w:ind w:hanging="360" w:left="360"/>
      </w:pPr>
      <w:r>
        <w:t>[15] PharmCAT. Research Mode - CYP2D6 calling from VCF: limitations. https://pharmcat.clinpgx.org/using/Research-Mode/ (consulté le 6 octobre 2026).</w:t>
      </w:r>
    </w:p>
    <w:p>
      <w:pPr>
        <w:spacing w:after="60"/>
        <w:ind w:hanging="360" w:left="360"/>
      </w:pPr>
      <w:r>
        <w:t>[16] Lee SB, Wheeler MM, Patterson K, et al. Stargazer: a software tool for calling star alleles from next-generation sequencing data using CYP2D6 as a model. Genet Med. 2019;21(2):361-372. doi:10.1038/s41436-018-0054-0.</w:t>
      </w:r>
    </w:p>
    <w:p>
      <w:pPr>
        <w:spacing w:after="60"/>
        <w:ind w:hanging="360" w:left="360"/>
      </w:pPr>
      <w:r>
        <w:t>[17] Numanagić I, Malikić S, Ford M, et al. Allelic decomposition and exact genotyping of highly polymorphic and structurally variant genes. Nat Commun. 2018;9(1):828. doi:10.1038/s41467-018-03273-1.</w:t>
      </w:r>
    </w:p>
    <w:p>
      <w:pPr>
        <w:spacing w:after="60"/>
        <w:ind w:hanging="360" w:left="360"/>
      </w:pPr>
      <w:r>
        <w:t>[18] Liu Y, Lin Z, Chen Q, et al. PAnno: A pharmacogenomics annotation tool for clinical genomic testing. Front Pharmacol. 2023;14:1008330. doi:10.3389/fphar.2023.1008330.</w:t>
      </w:r>
    </w:p>
    <w:p>
      <w:pPr>
        <w:spacing w:after="60"/>
        <w:ind w:hanging="360" w:left="360"/>
      </w:pPr>
      <w:r>
        <w:t>[19] Centers for Disease Control and Prevention. GeT-RM Reference Materials — Pharmacogenetics and HLA. https://www.cdc.gov/lab-quality/php/get-rm/reference-materials.html (consulté le 12 octobre 2026).</w:t>
      </w:r>
    </w:p>
    <w:p>
      <w:pPr>
        <w:spacing w:after="60"/>
        <w:ind w:hanging="360" w:left="360"/>
      </w:pPr>
      <w:r>
        <w:t>[20] Gaedigk A, Turner AJ, Everts RE, et al. Characterization of Reference Materials for Genetic Testing of CYP2D6 Alleles: A GeT-RM Collaborative Project. J Mol Diagn. 2019;21(6):1034-1052. doi:10.1016/j.jmoldx.2019.06.007.</w:t>
      </w:r>
    </w:p>
    <w:p>
      <w:pPr>
        <w:spacing w:after="60"/>
        <w:ind w:hanging="360" w:left="360"/>
      </w:pPr>
      <w:r>
        <w:t>[21] Kidwai-Khan F, Rentsch CT, Pulk R, Alcorn C, Brandt CA, Justice AC. Pharmacogenomics driven decision support prototype with machine learning: A framework for improving patient care. Front Big Data. 2022;5:1059088. doi:10.3389/fdata.2022.1059088.</w:t>
      </w:r>
    </w:p>
    <w:p>
      <w:pPr>
        <w:spacing w:after="60"/>
        <w:ind w:hanging="360" w:left="360"/>
      </w:pPr>
      <w:r>
        <w:t>[22] Liang Z, Huang JX, Zeng X, Zhang G. DL-ADR: a novel deep learning model for classifying genomic variants into adverse drug reactions. BMC Med Genomics. 2016;9(Suppl 2):48. doi:10.1186/s12920-016-0207-4.</w:t>
      </w:r>
    </w:p>
    <w:p>
      <w:pPr>
        <w:spacing w:after="60"/>
        <w:ind w:hanging="360" w:left="360"/>
      </w:pPr>
      <w:r>
        <w:t>[23] He M, Shi Y, Han F, Cai Y. Prediction of adverse drug reactions based on pharmacogenomics combination features: a preliminary study. Front Pharmacol. 2025;16:1448106. doi:10.3389/fphar.2025.1448106.</w:t>
      </w:r>
    </w:p>
    <w:p>
      <w:pPr>
        <w:spacing w:after="60"/>
        <w:ind w:hanging="360" w:left="360"/>
      </w:pPr>
      <w:r>
        <w:t>[24] Zack M, Slobodchikov I, Stupichev D, et al. Benchmarking large language models for replication of guideline-based PGx recommendations. Pharmacogenomics J. 2025;25:23. doi:10.1038/s41397-025-00383-0.</w:t>
      </w:r>
    </w:p>
    <w:p>
      <w:pPr>
        <w:spacing w:after="60"/>
        <w:ind w:hanging="360" w:left="360"/>
      </w:pPr>
      <w:r>
        <w:t>[25] Cappello G, Oster C, Schmidt T, et al. Machine learning models for adverse drug reaction prediction. A systematic review and three-level multilevel meta-analysis. Front Pharmacol. 2026;17:1906920. doi:10.3389/fphar.2026.1906920.</w:t>
      </w:r>
    </w:p>
    <w:p>
      <w:pPr>
        <w:spacing w:after="60"/>
        <w:ind w:hanging="360" w:left="360"/>
      </w:pPr>
      <w:r>
        <w:t>[26] Partin A, Brettin TS, Zhu Y, et al. Deep learning methods for drug response prediction in cancer: Predominant and emerging trends. Front Med. 2023;10:1086097. doi:10.3389/fmed.2023.1086097.</w:t>
      </w:r>
    </w:p>
    <w:p>
      <w:pPr>
        <w:spacing w:after="60"/>
        <w:ind w:hanging="360" w:left="360"/>
      </w:pPr>
      <w:r>
        <w:t>[27] Sharifi-Noghabi H, Zolotareva O, Collins CC, Ester M. MOLI: multi-omics late integration with deep neural networks for drug response prediction. Bioinformatics. 2019;35(14):i501-i509. doi:10.1093/bioinformatics/btz318.</w:t>
      </w:r>
    </w:p>
    <w:p>
      <w:pPr>
        <w:spacing w:after="60"/>
        <w:ind w:hanging="360" w:left="360"/>
      </w:pPr>
      <w:r>
        <w:t>[28] Liu Q, Hu Z, Jiang R, Zhou M. DeepCDR: a hybrid graph convolutional network for predicting cancer drug response. Bioinformatics. 2020;36(Supplement_2):i911-i918. doi:10.1093/bioinformatics/btaa822.</w:t>
      </w:r>
    </w:p>
    <w:p>
      <w:pPr>
        <w:spacing w:after="60"/>
        <w:ind w:hanging="360" w:left="360"/>
      </w:pPr>
      <w:r>
        <w:t>[29] Jin I, Nam H. HiDRA: Hierarchical Network for Drug Response Prediction with Attention. J Chem Inf Model. 2021;61(8):3858-3867. doi:10.1021/acs.jcim.1c00706.</w:t>
      </w:r>
    </w:p>
    <w:p>
      <w:pPr>
        <w:spacing w:after="60"/>
        <w:ind w:hanging="360" w:left="360"/>
      </w:pPr>
      <w:r>
        <w:t>[30] Rogers D, Hahn M. Extended-Connectivity Fingerprints. J Chem Inf Model. 2010;50(5):742-754. doi:10.1021/ci100050t.</w:t>
      </w:r>
    </w:p>
    <w:p>
      <w:pPr>
        <w:spacing w:after="60"/>
        <w:ind w:hanging="360" w:left="360"/>
      </w:pPr>
      <w:r>
        <w:t>[31] Praski M, Adamczyk J, Czech W. Benchmarking Pretrained Molecular Embedding Models For Molecular Representation Learning. arXiv:2508.06199. 2025. Preprint.</w:t>
      </w:r>
    </w:p>
    <w:p>
      <w:pPr>
        <w:spacing w:after="60"/>
        <w:ind w:hanging="360" w:left="360"/>
      </w:pPr>
      <w:r>
        <w:t>[32] RDKit. RDKit: Open-source cheminformatics. Version 2026.03.6. https://www.rdkit.org/ (consulté le 12 octobre 2026).</w:t>
      </w:r>
    </w:p>
    <w:p>
      <w:pPr>
        <w:spacing w:after="60"/>
        <w:ind w:hanging="360" w:left="360"/>
      </w:pPr>
      <w:r>
        <w:t>[33] Lundberg SM, Lee SI. A Unified Approach to Interpreting Model Predictions. Advances in Neural Information Processing Systems. 2017:4765-4774.</w:t>
      </w:r>
    </w:p>
    <w:p>
      <w:pPr>
        <w:spacing w:after="60"/>
        <w:ind w:hanging="360" w:left="360"/>
      </w:pPr>
      <w:r>
        <w:t>[34] Jain S, Wallace BC. Attention is not Explanation. Proceedings of NAACL-HLT 2019. 2019:3543-3556. doi:10.18653/v1/N19-1357.</w:t>
      </w:r>
    </w:p>
    <w:p>
      <w:pPr>
        <w:spacing w:after="60"/>
        <w:ind w:hanging="360" w:left="360"/>
      </w:pPr>
      <w:r>
        <w:t>[35] Araf I, Idri A, Chairi I. Cost-sensitive learning for imbalanced medical data: a review. Artif Intell Rev. 2024;57:80. doi:10.1007/s10462-023-10652-8.</w:t>
      </w:r>
    </w:p>
    <w:sectPr>
      <w:footerReference r:id="rId7" w:type="default"/>
      <w:headerReference w:type="first" r:id="rId8"/>
      <w:footerReference w:type="first" r:id="rId9"/>
      <w:pgSz w:h="15840" w:w="12240" w:orient="portrait"/>
      <w:pgMar w:bottom="1080" w:top="1080" w:left="1152" w:right="1152"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
      <w:rPr>
        <w:rFonts w:ascii="Times New Roman" w:hAnsi="Times New Roman"/>
        <w:color w:val="787878"/>
        <w:sz w:val="16"/>
      </w:rPr>
      <w:t xml:space="preserve">PharmaGeno — Mémoire de Master en Bioinformatique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Times New Roman" w:hAnsi="Times New Roman"/>
      <w:sz w:val="22"/>
    </w:rPr>
  </w:style>
  <w:style w:type="paragraph" w:styleId="Heading1">
    <w:name w:val="heading 1"/>
    <w:basedOn w:val="Normal"/>
    <w:next w:val="Normal"/>
    <w:pPr>
      <w:keepNext w:val="1"/>
      <w:keepLines w:val="1"/>
      <w:spacing w:after="100" w:before="200" w:lineRule="auto"/>
    </w:pPr>
    <w:rPr>
      <w:rFonts w:ascii="Times New Roman" w:cs="Times New Roman" w:eastAsia="Times New Roman" w:hAnsi="Times New Roman"/>
      <w:b/>
      <w:bCs w:val="1"/>
      <w:color w:val="1F4E79"/>
      <w:sz w:val="30"/>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bCs w:val="1"/>
      <w:color w:val="1F4E79"/>
      <w:sz w:val="26"/>
      <w:szCs w:val="25"/>
    </w:rPr>
  </w:style>
  <w:style w:type="paragraph" w:styleId="Heading3">
    <w:name w:val="heading 3"/>
    <w:basedOn w:val="Normal"/>
    <w:next w:val="Normal"/>
    <w:pPr>
      <w:keepNext w:val="1"/>
      <w:keepLines w:val="1"/>
      <w:spacing w:after="0" w:before="200" w:lineRule="auto"/>
    </w:pPr>
    <w:rPr>
      <w:rFonts w:ascii="Times New Roman" w:cs="Calibri" w:eastAsia="Calibri" w:hAnsi="Times New Roman"/>
      <w:b/>
      <w:bCs w:val="1"/>
      <w:color w:val="1F4E79"/>
      <w:sz w:val="23"/>
    </w:rPr>
  </w:style>
  <w:style w:type="paragraph" w:styleId="Heading4">
    <w:name w:val="heading 4"/>
    <w:basedOn w:val="Normal"/>
    <w:next w:val="Normal"/>
    <w:pPr>
      <w:keepNext w:val="1"/>
      <w:keepLines w:val="1"/>
      <w:spacing w:before="200" w:lineRule="auto"/>
    </w:pPr>
    <w:rPr>
      <w:rFonts w:ascii="Times New Roman" w:cs="Times New Roman" w:eastAsia="Times New Roman" w:hAnsi="Times New Roman"/>
      <w:b/>
      <w:bCs w:val="1"/>
      <w:i w:val="1"/>
      <w:iCs w:val="1"/>
      <w:color w:val="1F4E79"/>
      <w:sz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Times New Roman" w:cs="Times New Roman" w:eastAsia="Times New Roman" w:hAnsi="Times New Roman"/>
      <w:b/>
      <w:bCs w:val="1"/>
      <w:color w:val="1F4E79"/>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PharmaGeno — Mémoire de Master en Bioinformatique — Chapitres 1 et 2</dc:title>
  <cp:lastModifiedBy>python-docx</cp:lastModifiedBy>
  <cp:revision>1</cp:revision>
  <dcterms:modified xsi:type="dcterms:W3CDTF">2026-10-06T22:06:22Z</dcterms:modified>
  <dc:subject>Introduction générale et état de l’art</dc:subject>
  <dc:creator>Mouna Ben Aicha</dc:creator>
  <cp:keywords>Pharmacogénomique, PharmGKB, CPIC, Deep Learning, XGBoost, Random Forest, PharmaGeno</cp:keywords>
</cp:coreProperties>
</file>