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2F75B5"/>
        </w:rPr>
        <w:t>CHAPITRE 3 — DONNÉES : CONSTRUCTION, AUDIT ET CARACTÉRISATION DU CORPUS</w:t>
      </w:r>
    </w:p>
    <w:p>
      <w:r>
        <w:t>Ce chapitre décrit la construction du corpus pharmacogénomique utilisé par PharmaGeno, les contrôles de qualité appliqués aux profils patients et aux médicaments, ainsi que les limites mises en évidence au cours du développement. L’objectif n’est pas seulement de présenter un jeu de données, mais de rendre explicites les transformations qui séparent les sources initiales des matrices effectivement soumises aux modèles.</w:t>
      </w:r>
    </w:p>
    <w:p>
      <w:r>
        <w:t>Une distinction est maintenue entre données observées, connaissances documentaires, variables dérivées et étiquettes dérivées de règles de lignes directrices. Cette distinction est essentielle : les étiquettes du projet décrivent l’état des connaissances pharmacogénomiques disponibles et ne constituent pas des réponses thérapeutiques observées prospectivement chez des patients.</w:t>
      </w:r>
    </w:p>
    <w:tbl>
      <w:tblPr>
        <w:tblStyle w:val="TableGrid"/>
        <w:tblW w:type="auto" w:w="0"/>
        <w:tblLook w:firstColumn="1" w:firstRow="1" w:lastColumn="0" w:lastRow="0" w:noHBand="0" w:noVBand="1" w:val="04A0"/>
      </w:tblPr>
      <w:tblGrid>
        <w:gridCol w:w="9746"/>
      </w:tblGrid>
      <w:tr>
        <w:tc>
          <w:tcPr>
            <w:tcW w:type="dxa" w:w="9746"/>
            <w:shd w:fill="FFF2CC"/>
          </w:tcPr>
          <w:p>
            <w:r>
              <w:rPr>
                <w:b/>
              </w:rPr>
              <w:t xml:space="preserve">Statut méthodologique. </w:t>
            </w:r>
            <w:r>
              <w:t>Le corpus phenotype_drug_dataset_NEG.csv à 57 053 lignes (NEG-v1) est conservé comme corpus expérimental intermédiaire. L’audit a montré, d’une part, que les étiquettes du corpus documentaire dont il est issu concordent dans 19,1 % des cas seulement avec les règles extraites des lignes directrices (§ 3.5.4) et, d’autre part, qu’une règle fixe de trois exemples négatifs par profil induit un décalage de distribution lors de l’interrogation exhaustive du référentiel médicamenteux (§ 3.7.3). Le corpus de référence des expériences définitives est le corpus v3 croisé : ses étiquettes sont calculées à partir des règles des lignes directrices CPIC et DPWG et chaque profil réel y est associé à chaque médicament couvert (§ 3.7.5). Il est identifié par son empreinte SHA256 (§ 3.10). Les expériences définitives sont en outre évaluées sur un ensemble final de 138 familles, mis de côté avant toute validation croisée (§ 3.4.4).</w:t>
            </w:r>
          </w:p>
        </w:tc>
      </w:tr>
    </w:tbl>
    <w:p/>
    <w:p>
      <w:pPr>
        <w:pStyle w:val="Heading2"/>
      </w:pPr>
      <w:r>
        <w:t>3.1 Vue d’ensemble du pipeline de données</w:t>
      </w:r>
    </w:p>
    <w:p>
      <w:r>
        <w:t>La construction du corpus suit six blocs complémentaires :</w:t>
      </w:r>
    </w:p>
    <w:p>
      <w:pPr>
        <w:pStyle w:val="ListBullet"/>
      </w:pPr>
      <w:r>
        <w:t>constitution d’un corpus documentaire à partir de PharmGKB et de recommandations pharmacogénomiques de référence ;</w:t>
      </w:r>
    </w:p>
    <w:p>
      <w:pPr>
        <w:pStyle w:val="ListBullet"/>
      </w:pPr>
      <w:r>
        <w:t>construction de profils pharmacogénomiques à partir du 1000 Genomes Project et de sorties PyPGx ;</w:t>
      </w:r>
    </w:p>
    <w:p>
      <w:pPr>
        <w:pStyle w:val="ListBullet"/>
      </w:pPr>
      <w:r>
        <w:t>encodage harmonisé de 31 pharmacogènes, tout en conservant la nature biologique de chaque variable ;</w:t>
      </w:r>
    </w:p>
    <w:p>
      <w:pPr>
        <w:pStyle w:val="ListBullet"/>
      </w:pPr>
      <w:r>
        <w:t>reconstruction d’identifiants de groupes afin d’éviter qu’un même individu contribue simultanément à l’apprentissage et au test ;</w:t>
      </w:r>
    </w:p>
    <w:p>
      <w:pPr>
        <w:pStyle w:val="ListBullet"/>
      </w:pPr>
      <w:r>
        <w:t>extraction de règles à partir des lignes directrices, audit des étiquettes et contrôle de la provenance ;</w:t>
      </w:r>
    </w:p>
    <w:p>
      <w:pPr>
        <w:pStyle w:val="ListBullet"/>
      </w:pPr>
      <w:r>
        <w:t>construction de la représentation moléculaire des médicaments, puis construction du corpus v3 par croisement des profils réels et des médicaments couverts par une règle.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Niveau de données</w:t>
            </w:r>
          </w:p>
        </w:tc>
        <w:tc>
          <w:tcPr>
            <w:tcW w:type="dxa" w:w="3249"/>
            <w:shd w:fill="D9EAF7"/>
          </w:tcPr>
          <w:p>
            <w:r>
              <w:rPr>
                <w:b/>
                <w:sz w:val="18"/>
              </w:rPr>
              <w:t>Rôle</w:t>
            </w:r>
          </w:p>
        </w:tc>
        <w:tc>
          <w:tcPr>
            <w:tcW w:type="dxa" w:w="3249"/>
            <w:shd w:fill="D9EAF7"/>
          </w:tcPr>
          <w:p>
            <w:r>
              <w:rPr>
                <w:b/>
                <w:sz w:val="18"/>
              </w:rPr>
              <w:t>Statut</w:t>
            </w:r>
          </w:p>
        </w:tc>
      </w:tr>
      <w:tr>
        <w:tc>
          <w:tcPr>
            <w:tcW w:type="dxa" w:w="3249"/>
            <w:vAlign w:val="center"/>
          </w:tcPr>
          <w:p>
            <w:r>
              <w:rPr>
                <w:sz w:val="18"/>
              </w:rPr>
              <w:t>Corpus documentaire</w:t>
            </w:r>
          </w:p>
        </w:tc>
        <w:tc>
          <w:tcPr>
            <w:tcW w:type="dxa" w:w="3249"/>
            <w:vAlign w:val="center"/>
          </w:tcPr>
          <w:p>
            <w:r>
              <w:rPr>
                <w:sz w:val="18"/>
              </w:rPr>
              <w:t>46 371 lignes après nettoyage ; relations PGx et actions dérivées des sources</w:t>
            </w:r>
          </w:p>
        </w:tc>
        <w:tc>
          <w:tcPr>
            <w:tcW w:type="dxa" w:w="3249"/>
            <w:vAlign w:val="center"/>
          </w:tcPr>
          <w:p>
            <w:r>
              <w:rPr>
                <w:sz w:val="18"/>
              </w:rPr>
              <w:t>Connaissances publiées, non cohorte prospective</w:t>
            </w:r>
          </w:p>
        </w:tc>
      </w:tr>
      <w:tr>
        <w:tc>
          <w:tcPr>
            <w:tcW w:type="dxa" w:w="3249"/>
            <w:vAlign w:val="center"/>
          </w:tcPr>
          <w:p>
            <w:r>
              <w:rPr>
                <w:sz w:val="18"/>
              </w:rPr>
              <w:t>Corpus filtré moléculaire</w:t>
            </w:r>
          </w:p>
        </w:tc>
        <w:tc>
          <w:tcPr>
            <w:tcW w:type="dxa" w:w="3249"/>
            <w:vAlign w:val="center"/>
          </w:tcPr>
          <w:p>
            <w:r>
              <w:rPr>
                <w:sz w:val="18"/>
              </w:rPr>
              <w:t>46 117 lignes avec médicament représentable</w:t>
            </w:r>
          </w:p>
        </w:tc>
        <w:tc>
          <w:tcPr>
            <w:tcW w:type="dxa" w:w="3249"/>
            <w:vAlign w:val="center"/>
          </w:tcPr>
          <w:p>
            <w:r>
              <w:rPr>
                <w:sz w:val="18"/>
              </w:rPr>
              <w:t>Base effectivement utilisée par les modèles avant augmentation négative</w:t>
            </w:r>
          </w:p>
        </w:tc>
      </w:tr>
      <w:tr>
        <w:tc>
          <w:tcPr>
            <w:tcW w:type="dxa" w:w="3249"/>
            <w:vAlign w:val="center"/>
          </w:tcPr>
          <w:p>
            <w:r>
              <w:rPr>
                <w:sz w:val="18"/>
              </w:rPr>
              <w:t>NEG-v1</w:t>
            </w:r>
          </w:p>
        </w:tc>
        <w:tc>
          <w:tcPr>
            <w:tcW w:type="dxa" w:w="3249"/>
            <w:vAlign w:val="center"/>
          </w:tcPr>
          <w:p>
            <w:r>
              <w:rPr>
                <w:sz w:val="18"/>
              </w:rPr>
              <w:t>Ajout de 3 négatifs fixes par profil</w:t>
            </w:r>
          </w:p>
        </w:tc>
        <w:tc>
          <w:tcPr>
            <w:tcW w:type="dxa" w:w="3249"/>
            <w:vAlign w:val="center"/>
          </w:tcPr>
          <w:p>
            <w:r>
              <w:rPr>
                <w:sz w:val="18"/>
              </w:rPr>
              <w:t>Corpus expérimental intermédiaire ; biais d’échantillonnage et étiquettes non concordantes identifiés</w:t>
            </w:r>
          </w:p>
        </w:tc>
      </w:tr>
      <w:tr>
        <w:tc>
          <w:tcPr>
            <w:tcW w:type="dxa" w:w="3249"/>
            <w:vAlign w:val="center"/>
          </w:tcPr>
          <w:p>
            <w:r>
              <w:rPr>
                <w:sz w:val="18"/>
              </w:rPr>
              <w:t>Corpus v3</w:t>
            </w:r>
          </w:p>
        </w:tc>
        <w:tc>
          <w:tcPr>
            <w:tcW w:type="dxa" w:w="3249"/>
            <w:vAlign w:val="center"/>
          </w:tcPr>
          <w:p>
            <w:r>
              <w:rPr>
                <w:sz w:val="18"/>
              </w:rPr>
              <w:t>23 667 lignes d’origine ré-étiquetées par les règles des lignes directrices</w:t>
            </w:r>
          </w:p>
        </w:tc>
        <w:tc>
          <w:tcPr>
            <w:tcW w:type="dxa" w:w="3249"/>
            <w:vAlign w:val="center"/>
          </w:tcPr>
          <w:p>
            <w:r>
              <w:rPr>
                <w:sz w:val="18"/>
              </w:rPr>
              <w:t>Variante de contrôle ; conserve le biais de sélection des médicaments</w:t>
            </w:r>
          </w:p>
        </w:tc>
      </w:tr>
      <w:tr>
        <w:tc>
          <w:tcPr>
            <w:tcW w:type="dxa" w:w="3249"/>
            <w:vAlign w:val="center"/>
          </w:tcPr>
          <w:p>
            <w:r>
              <w:rPr>
                <w:sz w:val="18"/>
              </w:rPr>
              <w:t>Corpus v3 croisé</w:t>
            </w:r>
          </w:p>
        </w:tc>
        <w:tc>
          <w:tcPr>
            <w:tcW w:type="dxa" w:w="3249"/>
            <w:vAlign w:val="center"/>
          </w:tcPr>
          <w:p>
            <w:r>
              <w:rPr>
                <w:sz w:val="18"/>
              </w:rPr>
              <w:t>76 028 lignes : 1 379 profils réels × médicaments couverts, étiquetés par les règles</w:t>
            </w:r>
          </w:p>
        </w:tc>
        <w:tc>
          <w:tcPr>
            <w:tcW w:type="dxa" w:w="3249"/>
            <w:vAlign w:val="center"/>
          </w:tcPr>
          <w:p>
            <w:r>
              <w:rPr>
                <w:sz w:val="18"/>
              </w:rPr>
              <w:t>Corpus de référence des expériences définitives (§ 3.7.5)</w:t>
            </w:r>
          </w:p>
        </w:tc>
      </w:tr>
    </w:tbl>
    <w:p>
      <w:pPr>
        <w:spacing w:after="20"/>
      </w:pPr>
    </w:p>
    <w:p>
      <w:pPr>
        <w:pStyle w:val="Heading2"/>
      </w:pPr>
      <w:r>
        <w:t>3.2 Sources pharmacogénomiques et provenance</w:t>
      </w:r>
    </w:p>
    <w:p>
      <w:r>
        <w:t>Le projet mobilise PharmGKB comme ressource documentaire principale [1] et s’appuie sur des recommandations ou annotations issues notamment de CPIC [7], DPWG [8], RNPGx et CPNDS. ClinVar et certaines informations réglementaires complètent le corpus, mais elles ne sont pas assimilées automatiquement à une recommandation thérapeutique.</w:t>
      </w:r>
    </w:p>
    <w:p>
      <w:r>
        <w:t>Pour identifier les médicaments associés à des pharmacogènes lors de la génération des négatifs, 217 fichiers d’annotation de lignes directrices ont été audités. Ils représentent 386 paires gène–médicament distinctes, couvrant 41 gènes et 208 médicaments. Une même paire peut apparaître dans plusieurs organismes, de sorte que les dénombrements par source ne sont pas additifs.</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Organisme</w:t>
            </w:r>
          </w:p>
        </w:tc>
        <w:tc>
          <w:tcPr>
            <w:tcW w:type="dxa" w:w="4873"/>
            <w:shd w:fill="D9EAF7"/>
          </w:tcPr>
          <w:p>
            <w:r>
              <w:rPr>
                <w:b/>
                <w:sz w:val="18"/>
              </w:rPr>
              <w:t>Paires repérées</w:t>
            </w:r>
          </w:p>
        </w:tc>
      </w:tr>
      <w:tr>
        <w:tc>
          <w:tcPr>
            <w:tcW w:type="dxa" w:w="4873"/>
            <w:vAlign w:val="center"/>
          </w:tcPr>
          <w:p>
            <w:r>
              <w:rPr>
                <w:sz w:val="18"/>
              </w:rPr>
              <w:t>CPIC</w:t>
            </w:r>
          </w:p>
        </w:tc>
        <w:tc>
          <w:tcPr>
            <w:tcW w:type="dxa" w:w="4873"/>
            <w:vAlign w:val="center"/>
          </w:tcPr>
          <w:p>
            <w:r>
              <w:rPr>
                <w:sz w:val="18"/>
              </w:rPr>
              <w:t>315</w:t>
            </w:r>
          </w:p>
        </w:tc>
      </w:tr>
      <w:tr>
        <w:tc>
          <w:tcPr>
            <w:tcW w:type="dxa" w:w="4873"/>
            <w:vAlign w:val="center"/>
          </w:tcPr>
          <w:p>
            <w:r>
              <w:rPr>
                <w:sz w:val="18"/>
              </w:rPr>
              <w:t>DPWG</w:t>
            </w:r>
          </w:p>
        </w:tc>
        <w:tc>
          <w:tcPr>
            <w:tcW w:type="dxa" w:w="4873"/>
            <w:vAlign w:val="center"/>
          </w:tcPr>
          <w:p>
            <w:r>
              <w:rPr>
                <w:sz w:val="18"/>
              </w:rPr>
              <w:t>111</w:t>
            </w:r>
          </w:p>
        </w:tc>
      </w:tr>
      <w:tr>
        <w:tc>
          <w:tcPr>
            <w:tcW w:type="dxa" w:w="4873"/>
            <w:vAlign w:val="center"/>
          </w:tcPr>
          <w:p>
            <w:r>
              <w:rPr>
                <w:sz w:val="18"/>
              </w:rPr>
              <w:t>RNPGx</w:t>
            </w:r>
          </w:p>
        </w:tc>
        <w:tc>
          <w:tcPr>
            <w:tcW w:type="dxa" w:w="4873"/>
            <w:vAlign w:val="center"/>
          </w:tcPr>
          <w:p>
            <w:r>
              <w:rPr>
                <w:sz w:val="18"/>
              </w:rPr>
              <w:t>31</w:t>
            </w:r>
          </w:p>
        </w:tc>
      </w:tr>
      <w:tr>
        <w:tc>
          <w:tcPr>
            <w:tcW w:type="dxa" w:w="4873"/>
            <w:vAlign w:val="center"/>
          </w:tcPr>
          <w:p>
            <w:r>
              <w:rPr>
                <w:sz w:val="18"/>
              </w:rPr>
              <w:t>CPNDS</w:t>
            </w:r>
          </w:p>
        </w:tc>
        <w:tc>
          <w:tcPr>
            <w:tcW w:type="dxa" w:w="4873"/>
            <w:vAlign w:val="center"/>
          </w:tcPr>
          <w:p>
            <w:r>
              <w:rPr>
                <w:sz w:val="18"/>
              </w:rPr>
              <w:t>13</w:t>
            </w:r>
          </w:p>
        </w:tc>
      </w:tr>
      <w:tr>
        <w:tc>
          <w:tcPr>
            <w:tcW w:type="dxa" w:w="4873"/>
            <w:vAlign w:val="center"/>
          </w:tcPr>
          <w:p>
            <w:r>
              <w:rPr>
                <w:sz w:val="18"/>
              </w:rPr>
              <w:t>AIOM</w:t>
            </w:r>
          </w:p>
        </w:tc>
        <w:tc>
          <w:tcPr>
            <w:tcW w:type="dxa" w:w="4873"/>
            <w:vAlign w:val="center"/>
          </w:tcPr>
          <w:p>
            <w:r>
              <w:rPr>
                <w:sz w:val="18"/>
              </w:rPr>
              <w:t>4</w:t>
            </w:r>
          </w:p>
        </w:tc>
      </w:tr>
      <w:tr>
        <w:tc>
          <w:tcPr>
            <w:tcW w:type="dxa" w:w="4873"/>
            <w:vAlign w:val="center"/>
          </w:tcPr>
          <w:p>
            <w:r>
              <w:rPr>
                <w:sz w:val="18"/>
              </w:rPr>
              <w:t>SEFF/SEOM</w:t>
            </w:r>
          </w:p>
        </w:tc>
        <w:tc>
          <w:tcPr>
            <w:tcW w:type="dxa" w:w="4873"/>
            <w:vAlign w:val="center"/>
          </w:tcPr>
          <w:p>
            <w:r>
              <w:rPr>
                <w:sz w:val="18"/>
              </w:rPr>
              <w:t>3</w:t>
            </w:r>
          </w:p>
        </w:tc>
      </w:tr>
      <w:tr>
        <w:tc>
          <w:tcPr>
            <w:tcW w:type="dxa" w:w="4873"/>
            <w:vAlign w:val="center"/>
          </w:tcPr>
          <w:p>
            <w:r>
              <w:rPr>
                <w:sz w:val="18"/>
              </w:rPr>
              <w:t>ACR, CFF, AusNZ, AHA</w:t>
            </w:r>
          </w:p>
        </w:tc>
        <w:tc>
          <w:tcPr>
            <w:tcW w:type="dxa" w:w="4873"/>
            <w:vAlign w:val="center"/>
          </w:tcPr>
          <w:p>
            <w:r>
              <w:rPr>
                <w:sz w:val="18"/>
              </w:rPr>
              <w:t>1 chacune</w:t>
            </w:r>
          </w:p>
        </w:tc>
      </w:tr>
    </w:tbl>
    <w:p>
      <w:pPr>
        <w:spacing w:after="20"/>
      </w:pPr>
    </w:p>
    <w:p>
      <w:r>
        <w:t>Un principe de provenance est appliqué : un niveau de preuve élevé dans PharmGKB atteste la solidité d’une association, mais ne suffit pas à déduire une conduite thérapeutique. Les actions utilisées comme étiquettes doivent rester reliées à la source qui les formule ou à une règle de construction explicitement documentée [1].</w:t>
      </w:r>
    </w:p>
    <w:p>
      <w:r>
        <w:t>Pour la version v3, les étiquettes ne sont plus déduites de la catégorie de phénotype PharmGKB (Toxicity, Efficacy, Dosage), mais du texte des recommandations elles-mêmes. Le script extraire_regles_v2.py lit les fichiers d’annotation de lignes directrices (JSON PharmGKB/ClinPGx) et, pour chaque phénotype de gène défini par une ligne directrice, classe la recommandation en STANDARD, SURVEILLER, ADAPTER_DOSE ou EVITER. Il produit 417 règles mono-gène (123 médicaments, 15 gènes ; 356 règles CPIC et 61 DPWG) et 81 règles à deux gènes (6 médicaments, toutes CPIC), à partir de 81 fichiers de lignes directrices. Chaque règle conserve le texte de la recommandation, sa source et des indicateurs de contrôle : ambiguë, conditionnelle, codage à valider, conflit interne, désaccord avec une autre source.</w:t>
      </w:r>
    </w:p>
    <w:p>
      <w:pPr>
        <w:pStyle w:val="Heading2"/>
      </w:pPr>
      <w:r>
        <w:t>3.3 Construction du profil pharmacogénomique</w:t>
      </w:r>
    </w:p>
    <w:p>
      <w:pPr>
        <w:pStyle w:val="Heading3"/>
      </w:pPr>
      <w:r>
        <w:t>3.3.1 Origine des variables génétiques</w:t>
      </w:r>
    </w:p>
    <w:p>
      <w:r>
        <w:t>Le panel comprend 31 gènes issus de trois voies de construction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Origine</w:t>
            </w:r>
          </w:p>
        </w:tc>
        <w:tc>
          <w:tcPr>
            <w:tcW w:type="dxa" w:w="3249"/>
            <w:shd w:fill="D9EAF7"/>
          </w:tcPr>
          <w:p>
            <w:r>
              <w:rPr>
                <w:b/>
                <w:sz w:val="18"/>
              </w:rPr>
              <w:t>Nombre de gènes</w:t>
            </w:r>
          </w:p>
        </w:tc>
        <w:tc>
          <w:tcPr>
            <w:tcW w:type="dxa" w:w="3249"/>
            <w:shd w:fill="D9EAF7"/>
          </w:tcPr>
          <w:p>
            <w:r>
              <w:rPr>
                <w:b/>
                <w:sz w:val="18"/>
              </w:rPr>
              <w:t>Commentaire</w:t>
            </w:r>
          </w:p>
        </w:tc>
      </w:tr>
      <w:tr>
        <w:tc>
          <w:tcPr>
            <w:tcW w:type="dxa" w:w="3249"/>
            <w:vAlign w:val="center"/>
          </w:tcPr>
          <w:p>
            <w:r>
              <w:rPr>
                <w:sz w:val="18"/>
              </w:rPr>
              <w:t>Extraction à partir des VCF 1000 Genomes</w:t>
            </w:r>
          </w:p>
        </w:tc>
        <w:tc>
          <w:tcPr>
            <w:tcW w:type="dxa" w:w="3249"/>
            <w:vAlign w:val="center"/>
          </w:tcPr>
          <w:p>
            <w:r>
              <w:rPr>
                <w:sz w:val="18"/>
              </w:rPr>
              <w:t>12</w:t>
            </w:r>
          </w:p>
        </w:tc>
        <w:tc>
          <w:tcPr>
            <w:tcW w:type="dxa" w:w="3249"/>
            <w:vAlign w:val="center"/>
          </w:tcPr>
          <w:p>
            <w:r>
              <w:rPr>
                <w:sz w:val="18"/>
              </w:rPr>
              <w:t>Variant(s) marqueur(s) et règles consignés dans les fiches gène</w:t>
            </w:r>
          </w:p>
        </w:tc>
      </w:tr>
      <w:tr>
        <w:tc>
          <w:tcPr>
            <w:tcW w:type="dxa" w:w="3249"/>
            <w:vAlign w:val="center"/>
          </w:tcPr>
          <w:p>
            <w:r>
              <w:rPr>
                <w:sz w:val="18"/>
              </w:rPr>
              <w:t>Phénotypes/allèles étoile issus de PyPGx</w:t>
            </w:r>
          </w:p>
        </w:tc>
        <w:tc>
          <w:tcPr>
            <w:tcW w:type="dxa" w:w="3249"/>
            <w:vAlign w:val="center"/>
          </w:tcPr>
          <w:p>
            <w:r>
              <w:rPr>
                <w:sz w:val="18"/>
              </w:rPr>
              <w:t>15</w:t>
            </w:r>
          </w:p>
        </w:tc>
        <w:tc>
          <w:tcPr>
            <w:tcW w:type="dxa" w:w="3249"/>
            <w:vAlign w:val="center"/>
          </w:tcPr>
          <w:p>
            <w:r>
              <w:rPr>
                <w:sz w:val="18"/>
              </w:rPr>
              <w:t>Réutilisation d’appels adaptés aux pharmacogènes complexes</w:t>
            </w:r>
          </w:p>
        </w:tc>
      </w:tr>
      <w:tr>
        <w:tc>
          <w:tcPr>
            <w:tcW w:type="dxa" w:w="3249"/>
            <w:vAlign w:val="center"/>
          </w:tcPr>
          <w:p>
            <w:r>
              <w:rPr>
                <w:sz w:val="18"/>
              </w:rPr>
              <w:t>Corpus documentaire initial</w:t>
            </w:r>
          </w:p>
        </w:tc>
        <w:tc>
          <w:tcPr>
            <w:tcW w:type="dxa" w:w="3249"/>
            <w:vAlign w:val="center"/>
          </w:tcPr>
          <w:p>
            <w:r>
              <w:rPr>
                <w:sz w:val="18"/>
              </w:rPr>
              <w:t>4</w:t>
            </w:r>
          </w:p>
        </w:tc>
        <w:tc>
          <w:tcPr>
            <w:tcW w:type="dxa" w:w="3249"/>
            <w:vAlign w:val="center"/>
          </w:tcPr>
          <w:p>
            <w:r>
              <w:rPr>
                <w:sz w:val="18"/>
              </w:rPr>
              <w:t>Variables conservées pour compatibilité et traçabilité</w:t>
            </w:r>
          </w:p>
        </w:tc>
      </w:tr>
    </w:tbl>
    <w:p>
      <w:pPr>
        <w:spacing w:after="20"/>
      </w:pPr>
    </w:p>
    <w:p>
      <w:r>
        <w:t>La cohorte haute couverture du 1000 Genomes Project constitue la base génétique de référence [2]. Sherman, Claw et Lee (2024) ont appliqué PyPGx [9] à 2 504 individus non apparentés de cette cohorte et analysé 58 pharmacogènes [3]. Ce travail constitue le précédent méthodologique direct de la partie PyPGx du pipeline.</w:t>
      </w:r>
    </w:p>
    <w:p>
      <w:pPr>
        <w:pStyle w:val="Heading3"/>
      </w:pPr>
      <w:r>
        <w:t>3.3.2 Encodage numérique et hétérogénéité biologique</w:t>
      </w:r>
    </w:p>
    <w:p>
      <w:r>
        <w:t>Pour permettre l’apprentissage, chaque gène est projeté sur une échelle numérique commune. La valeur 1,0 représente l’état de référence défini dans le pipeline ; des valeurs inférieures représentent un état altéré selon la convention du gène, et certaines variables peuvent dépasser 1,0 lorsqu’un statut fonctionnel accru est défini.</w:t>
      </w:r>
    </w:p>
    <w:p>
      <w:r>
        <w:t>Cette échelle est une convention de modélisation et non une échelle biologique universelle. Elle agrège plusieurs types de variables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Nature de la variable</w:t>
            </w:r>
          </w:p>
        </w:tc>
        <w:tc>
          <w:tcPr>
            <w:tcW w:type="dxa" w:w="3249"/>
            <w:shd w:fill="D9EAF7"/>
          </w:tcPr>
          <w:p>
            <w:r>
              <w:rPr>
                <w:b/>
                <w:sz w:val="18"/>
              </w:rPr>
              <w:t>Exemples de gènes</w:t>
            </w:r>
          </w:p>
        </w:tc>
        <w:tc>
          <w:tcPr>
            <w:tcW w:type="dxa" w:w="3249"/>
            <w:shd w:fill="D9EAF7"/>
          </w:tcPr>
          <w:p>
            <w:r>
              <w:rPr>
                <w:b/>
                <w:sz w:val="18"/>
              </w:rPr>
              <w:t>Interprétation</w:t>
            </w:r>
          </w:p>
        </w:tc>
      </w:tr>
      <w:tr>
        <w:tc>
          <w:tcPr>
            <w:tcW w:type="dxa" w:w="3249"/>
            <w:vAlign w:val="center"/>
          </w:tcPr>
          <w:p>
            <w:r>
              <w:rPr>
                <w:sz w:val="18"/>
              </w:rPr>
              <w:t>Score/fonction enzymatique</w:t>
            </w:r>
          </w:p>
        </w:tc>
        <w:tc>
          <w:tcPr>
            <w:tcW w:type="dxa" w:w="3249"/>
            <w:vAlign w:val="center"/>
          </w:tcPr>
          <w:p>
            <w:r>
              <w:rPr>
                <w:sz w:val="18"/>
              </w:rPr>
              <w:t>CYP2B6, CYP2C19, CYP2C9, CYP2D6, DPYD</w:t>
            </w:r>
          </w:p>
        </w:tc>
        <w:tc>
          <w:tcPr>
            <w:tcW w:type="dxa" w:w="3249"/>
            <w:vAlign w:val="center"/>
          </w:tcPr>
          <w:p>
            <w:r>
              <w:rPr>
                <w:sz w:val="18"/>
              </w:rPr>
              <w:t>Fonction métabolique ou activité</w:t>
            </w:r>
          </w:p>
        </w:tc>
      </w:tr>
      <w:tr>
        <w:tc>
          <w:tcPr>
            <w:tcW w:type="dxa" w:w="3249"/>
            <w:vAlign w:val="center"/>
          </w:tcPr>
          <w:p>
            <w:r>
              <w:rPr>
                <w:sz w:val="18"/>
              </w:rPr>
              <w:t>Phénotype ordinal</w:t>
            </w:r>
          </w:p>
        </w:tc>
        <w:tc>
          <w:tcPr>
            <w:tcW w:type="dxa" w:w="3249"/>
            <w:vAlign w:val="center"/>
          </w:tcPr>
          <w:p>
            <w:r>
              <w:rPr>
                <w:sz w:val="18"/>
              </w:rPr>
              <w:t>CYP3A5, NUDT15, TPMT, UGT1A1</w:t>
            </w:r>
          </w:p>
        </w:tc>
        <w:tc>
          <w:tcPr>
            <w:tcW w:type="dxa" w:w="3249"/>
            <w:vAlign w:val="center"/>
          </w:tcPr>
          <w:p>
            <w:r>
              <w:rPr>
                <w:sz w:val="18"/>
              </w:rPr>
              <w:t>Catégorie fonctionnelle</w:t>
            </w:r>
          </w:p>
        </w:tc>
      </w:tr>
      <w:tr>
        <w:tc>
          <w:tcPr>
            <w:tcW w:type="dxa" w:w="3249"/>
            <w:vAlign w:val="center"/>
          </w:tcPr>
          <w:p>
            <w:r>
              <w:rPr>
                <w:sz w:val="18"/>
              </w:rPr>
              <w:t>Génotype SNP encodé</w:t>
            </w:r>
          </w:p>
        </w:tc>
        <w:tc>
          <w:tcPr>
            <w:tcW w:type="dxa" w:w="3249"/>
            <w:vAlign w:val="center"/>
          </w:tcPr>
          <w:p>
            <w:r>
              <w:rPr>
                <w:sz w:val="18"/>
              </w:rPr>
              <w:t>CYP1A2, CYP2A6, CYP3A4, CYP4F2, G6PD, IFNL3, NAT2, VKORC1…</w:t>
            </w:r>
          </w:p>
        </w:tc>
        <w:tc>
          <w:tcPr>
            <w:tcW w:type="dxa" w:w="3249"/>
            <w:vAlign w:val="center"/>
          </w:tcPr>
          <w:p>
            <w:r>
              <w:rPr>
                <w:sz w:val="18"/>
              </w:rPr>
              <w:t>Codage d’un génotype marqueur</w:t>
            </w:r>
          </w:p>
        </w:tc>
      </w:tr>
      <w:tr>
        <w:tc>
          <w:tcPr>
            <w:tcW w:type="dxa" w:w="3249"/>
            <w:vAlign w:val="center"/>
          </w:tcPr>
          <w:p>
            <w:r>
              <w:rPr>
                <w:sz w:val="18"/>
              </w:rPr>
              <w:t>Fonction de transport</w:t>
            </w:r>
          </w:p>
        </w:tc>
        <w:tc>
          <w:tcPr>
            <w:tcW w:type="dxa" w:w="3249"/>
            <w:vAlign w:val="center"/>
          </w:tcPr>
          <w:p>
            <w:r>
              <w:rPr>
                <w:sz w:val="18"/>
              </w:rPr>
              <w:t>ABCG2, SLCO1B1</w:t>
            </w:r>
          </w:p>
        </w:tc>
        <w:tc>
          <w:tcPr>
            <w:tcW w:type="dxa" w:w="3249"/>
            <w:vAlign w:val="center"/>
          </w:tcPr>
          <w:p>
            <w:r>
              <w:rPr>
                <w:sz w:val="18"/>
              </w:rPr>
              <w:t>Capacité/fonction de transport</w:t>
            </w:r>
          </w:p>
        </w:tc>
      </w:tr>
      <w:tr>
        <w:tc>
          <w:tcPr>
            <w:tcW w:type="dxa" w:w="3249"/>
            <w:vAlign w:val="center"/>
          </w:tcPr>
          <w:p>
            <w:r>
              <w:rPr>
                <w:sz w:val="18"/>
              </w:rPr>
              <w:t>Susceptibilité</w:t>
            </w:r>
          </w:p>
        </w:tc>
        <w:tc>
          <w:tcPr>
            <w:tcW w:type="dxa" w:w="3249"/>
            <w:vAlign w:val="center"/>
          </w:tcPr>
          <w:p>
            <w:r>
              <w:rPr>
                <w:sz w:val="18"/>
              </w:rPr>
              <w:t>CACNA1S, RYR1</w:t>
            </w:r>
          </w:p>
        </w:tc>
        <w:tc>
          <w:tcPr>
            <w:tcW w:type="dxa" w:w="3249"/>
            <w:vAlign w:val="center"/>
          </w:tcPr>
          <w:p>
            <w:r>
              <w:rPr>
                <w:sz w:val="18"/>
              </w:rPr>
              <w:t>Présence d’un déterminant de susceptibilité</w:t>
            </w:r>
          </w:p>
        </w:tc>
      </w:tr>
      <w:tr>
        <w:tc>
          <w:tcPr>
            <w:tcW w:type="dxa" w:w="3249"/>
            <w:vAlign w:val="center"/>
          </w:tcPr>
          <w:p>
            <w:r>
              <w:rPr>
                <w:sz w:val="18"/>
              </w:rPr>
              <w:t>Allèle à risque</w:t>
            </w:r>
          </w:p>
        </w:tc>
        <w:tc>
          <w:tcPr>
            <w:tcW w:type="dxa" w:w="3249"/>
            <w:vAlign w:val="center"/>
          </w:tcPr>
          <w:p>
            <w:r>
              <w:rPr>
                <w:sz w:val="18"/>
              </w:rPr>
              <w:t>HLA-A, HLA-B</w:t>
            </w:r>
          </w:p>
        </w:tc>
        <w:tc>
          <w:tcPr>
            <w:tcW w:type="dxa" w:w="3249"/>
            <w:vAlign w:val="center"/>
          </w:tcPr>
          <w:p>
            <w:r>
              <w:rPr>
                <w:sz w:val="18"/>
              </w:rPr>
              <w:t>Portage d’un allèle ou statut à risque</w:t>
            </w:r>
          </w:p>
        </w:tc>
      </w:tr>
    </w:tbl>
    <w:p>
      <w:pPr>
        <w:spacing w:after="20"/>
      </w:pPr>
    </w:p>
    <w:p>
      <w:r>
        <w:t>Une même valeur numérique n’a donc pas nécessairement la même signification clinique d’un gène à l’autre. L’application doit restituer un libellé dépendant de la catégorie du gène et ne doit pas convertir automatiquement toute valeur 0,5 en « métaboliseur intermédiaire ».</w:t>
      </w:r>
    </w:p>
    <w:p>
      <w:pPr>
        <w:pStyle w:val="Heading3"/>
      </w:pPr>
      <w:r>
        <w:t>3.3.3 Gènes constants et loci nécessitant une prudence particulière</w:t>
      </w:r>
    </w:p>
    <w:p>
      <w:r>
        <w:t>Dans NEG-v1, sept colonnes génétiques sont constantes à 1,0 : ACE, ADRB2, CFTR, EGFR, MT-RNR1, MTHFR et SLC19A1. Elles n’apportent donc aucune information discriminante dans ce corpus. Dans le corpus v3 croisé, qui ne contient que les 1 379 profils réels, 18 colonnes sur 31 sont constantes : ACE, ADRB2, CACNA1S, CFTR, CYP1A2, CYP2A6, CYP3A4, CYP4F2, EGFR, G6PD, HLA-A, HLA-B, IFNL3, MT-RNR1, MTHFR, NAT2, SLC19A1 et VKORC1. Treize gènes varient : ABCG2, CYP2B6, CYP2C19, CYP2C9, CYP2D6, CYP3A5, DPYD, F5, NUDT15, RYR1, SLCO1B1, TPMT et UGT1A1. Parmi les 15 gènes dotés de règles, G6PD, HLA-B, MT-RNR1, NAT2 et CYP3A4 sont constants dans ces profils : aucun apprentissage n’est possible à leur sujet. Critère de sélection des entrées : une variable est retirée des entrées des modèles lorsqu’elle prend la même valeur pour tous les profils du corpus croisé, car une colonne constante ne peut contribuer à la prédiction d’aucune étiquette. Ce critère est mesuré sur les données et non fondé sur un jugement. Il écarte les 18 colonnes constantes énumérées ci-dessus, dont CACNA1S. RYR1, qui varie, est également retirée : elle vaut 0,5 pour 1 377 des 1 379 profils et aucune règle de ligne directrice ne la cite. Dans le fichier v3 d’origine, RYR1 et CACNA1S valent par ailleurs 0,5 sur la quasi-totalité des lignes rattachées à un individu réel et 1,0 sur une partie des lignes documentaires, ce qui permettait de deviner l’origine d’une ligne ; la cause de ce codage n’a pas été vérifiée. Les modèles reçoivent ainsi 12 gènes : ABCG2, CYP2B6, CYP2C19, CYP2C9, CYP2D6, CYP3A5, DPYD, F5, NUDT15, SLCO1B1, TPMT et UGT1A1. Les 31 colonnes restent présentes dans le corpus et leur origine est documentée (§ 3.3.1). Ces constances décrivent le jeu de données construit et ne doivent pas être interprétées comme une absence de variabilité biologique dans la population générale. Pour les gènes extraits des VCF 1000 Genomes (VKORC1, NAT2, CYP4F2, G6PD, CYP3A4, CYP1A2, CYP2A6, IFNL3, MTHFR…), le codage par défaut à 1,0 ne permet pas de distinguer un génotype de référence d’un gène non génotypé ; l’origine de ces valeurs constantes n’est pas établie à ce stade.</w:t>
      </w:r>
    </w:p>
    <w:p>
      <w:r>
        <w:t>CYP2D6, HLA-A, HLA-B et MT-RNR1 nécessitent des traitements ou appels spécialisés pour une interprétation clinique robuste. G6PD requiert également une attention particulière du fait de sa localisation sur le chromosome X, et EGFR relève principalement de variants somatiques dans les contextes oncologiques. Ces cas illustrent que certains loci du panel requièrent des méthodes d’appel spécialisées ou une interprétation dépendante du contexte biologique ; ils ne doivent pas être traités comme de simples SNP autosomiques.</w:t>
      </w:r>
    </w:p>
    <w:p>
      <w:pPr>
        <w:pStyle w:val="Heading3"/>
      </w:pPr>
      <w:r>
        <w:t>3.3.4 Individus réels et identifiants techniques</w:t>
      </w:r>
    </w:p>
    <w:p>
      <w:r>
        <w:t>Deux quantités doivent être distinguées. Les 11 476 valeurs de sample_id dans NEG-v1 sont des identifiants techniques de groupement. Elles ne correspondent pas à 11 476 individus séquencés. Seuls 1 379 individus ont été effectivement rattachés à un identifiant 1000 Genomes.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Quantité</w:t>
            </w:r>
          </w:p>
        </w:tc>
        <w:tc>
          <w:tcPr>
            <w:tcW w:type="dxa" w:w="3249"/>
            <w:shd w:fill="D9EAF7"/>
          </w:tcPr>
          <w:p>
            <w:r>
              <w:rPr>
                <w:b/>
                <w:sz w:val="18"/>
              </w:rPr>
              <w:t>Valeur</w:t>
            </w:r>
          </w:p>
        </w:tc>
        <w:tc>
          <w:tcPr>
            <w:tcW w:type="dxa" w:w="3249"/>
            <w:shd w:fill="D9EAF7"/>
          </w:tcPr>
          <w:p>
            <w:r>
              <w:rPr>
                <w:b/>
                <w:sz w:val="18"/>
              </w:rPr>
              <w:t>Interprétation</w:t>
            </w:r>
          </w:p>
        </w:tc>
      </w:tr>
      <w:tr>
        <w:tc>
          <w:tcPr>
            <w:tcW w:type="dxa" w:w="3249"/>
            <w:vAlign w:val="center"/>
          </w:tcPr>
          <w:p>
            <w:r>
              <w:rPr>
                <w:sz w:val="18"/>
              </w:rPr>
              <w:t>Individus séquencés rattachés</w:t>
            </w:r>
          </w:p>
        </w:tc>
        <w:tc>
          <w:tcPr>
            <w:tcW w:type="dxa" w:w="3249"/>
            <w:vAlign w:val="center"/>
          </w:tcPr>
          <w:p>
            <w:r>
              <w:rPr>
                <w:sz w:val="18"/>
              </w:rPr>
              <w:t>1 379</w:t>
            </w:r>
          </w:p>
        </w:tc>
        <w:tc>
          <w:tcPr>
            <w:tcW w:type="dxa" w:w="3249"/>
            <w:vAlign w:val="center"/>
          </w:tcPr>
          <w:p>
            <w:r>
              <w:rPr>
                <w:sz w:val="18"/>
              </w:rPr>
              <w:t>Profils reliés à un identifiant 1000 Genomes</w:t>
            </w:r>
          </w:p>
        </w:tc>
      </w:tr>
      <w:tr>
        <w:tc>
          <w:tcPr>
            <w:tcW w:type="dxa" w:w="3249"/>
            <w:vAlign w:val="center"/>
          </w:tcPr>
          <w:p>
            <w:r>
              <w:rPr>
                <w:sz w:val="18"/>
              </w:rPr>
              <w:t>sample_id distincts dans NEG-v1</w:t>
            </w:r>
          </w:p>
        </w:tc>
        <w:tc>
          <w:tcPr>
            <w:tcW w:type="dxa" w:w="3249"/>
            <w:vAlign w:val="center"/>
          </w:tcPr>
          <w:p>
            <w:r>
              <w:rPr>
                <w:sz w:val="18"/>
              </w:rPr>
              <w:t>11 476</w:t>
            </w:r>
          </w:p>
        </w:tc>
        <w:tc>
          <w:tcPr>
            <w:tcW w:type="dxa" w:w="3249"/>
            <w:vAlign w:val="center"/>
          </w:tcPr>
          <w:p>
            <w:r>
              <w:rPr>
                <w:sz w:val="18"/>
              </w:rPr>
              <w:t>Individus réels + pseudo-groupes documentaires</w:t>
            </w:r>
          </w:p>
        </w:tc>
      </w:tr>
      <w:tr>
        <w:tc>
          <w:tcPr>
            <w:tcW w:type="dxa" w:w="3249"/>
            <w:vAlign w:val="center"/>
          </w:tcPr>
          <w:p>
            <w:r>
              <w:rPr>
                <w:sz w:val="18"/>
              </w:rPr>
              <w:t>Profils génétiques distincts dans NEG-v1</w:t>
            </w:r>
          </w:p>
        </w:tc>
        <w:tc>
          <w:tcPr>
            <w:tcW w:type="dxa" w:w="3249"/>
            <w:vAlign w:val="center"/>
          </w:tcPr>
          <w:p>
            <w:r>
              <w:rPr>
                <w:sz w:val="18"/>
              </w:rPr>
              <w:t>3 665</w:t>
            </w:r>
          </w:p>
        </w:tc>
        <w:tc>
          <w:tcPr>
            <w:tcW w:type="dxa" w:w="3249"/>
            <w:vAlign w:val="center"/>
          </w:tcPr>
          <w:p>
            <w:r>
              <w:rPr>
                <w:sz w:val="18"/>
              </w:rPr>
              <w:t>Vecteurs génétiques uniques observés</w:t>
            </w:r>
          </w:p>
        </w:tc>
      </w:tr>
    </w:tbl>
    <w:p>
      <w:pPr>
        <w:spacing w:after="20"/>
      </w:pPr>
    </w:p>
    <w:p>
      <w:r>
        <w:t>Les statistiques biologiques par patient doivent donc être calculées uniquement sur les individus réels rattachés. Dans ce sous-ensemble, le nombre de gènes atypiques est en moyenne de 6,39 par profil, avec une médiane de 6, un minimum de 2 et un maximum de 11. Aucun des 1 379 profils réels ne présente zéro ou un seul gène atypique.</w:t>
      </w:r>
    </w:p>
    <w:p>
      <w:r>
        <w:t>Ces observations motivent l’évaluation d’une représentation multi-gènes, sans démontrer que plusieurs gènes contribuent à la décision pour chaque médicament. Cette utilité doit être mesurée expérimentalement par l’ablation single-gene versus multi-gènes.</w:t>
      </w:r>
    </w:p>
    <w:p>
      <w:pPr>
        <w:pStyle w:val="Heading2"/>
      </w:pPr>
      <w:r>
        <w:t>3.4 Reconstruction des identifiants et prévention des fuites</w:t>
      </w:r>
    </w:p>
    <w:p>
      <w:pPr>
        <w:pStyle w:val="Heading3"/>
      </w:pPr>
      <w:r>
        <w:t>3.4.1 Problème</w:t>
      </w:r>
    </w:p>
    <w:p>
      <w:r>
        <w:t>Un même patient apparaît sur plusieurs lignes, chaque ligne correspondant à une combinaison profil–médicament. Une séparation aléatoire au niveau des lignes peut donc placer le même patient dans les ensembles d’apprentissage et de test, ce qui surestime les performances.</w:t>
      </w:r>
    </w:p>
    <w:p>
      <w:pPr>
        <w:pStyle w:val="Heading3"/>
      </w:pPr>
      <w:r>
        <w:t>3.4.2 Reconstruction</w:t>
      </w:r>
    </w:p>
    <w:p>
      <w:r>
        <w:t>Un fichier intermédiaire ayant conservé l’identifiant sample a été utilisé pour rattacher les lignes séquencées. Les lignes purement documentaires, qui ne correspondent pas à un individu séquencé, reçoivent des pseudo-identifiants distincts.</w:t>
      </w:r>
    </w:p>
    <w:p>
      <w:r>
        <w:t>Le corpus documentaire après nettoyage comptait 46 371 lignes. Après filtrage sur la disponibilité d’une représentation moléculaire, 46 117 lignes ont été conservées pour la modélisation ; cette seconde base est celle utilisée pour les dénombrements associés aux modèles.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Type de ligne</w:t>
            </w:r>
          </w:p>
        </w:tc>
        <w:tc>
          <w:tcPr>
            <w:tcW w:type="dxa" w:w="3249"/>
            <w:shd w:fill="D9EAF7"/>
          </w:tcPr>
          <w:p>
            <w:r>
              <w:rPr>
                <w:b/>
                <w:sz w:val="18"/>
              </w:rPr>
              <w:t>Nombre dans le corpus filtré (46 117)</w:t>
            </w:r>
          </w:p>
        </w:tc>
        <w:tc>
          <w:tcPr>
            <w:tcW w:type="dxa" w:w="3249"/>
            <w:shd w:fill="D9EAF7"/>
          </w:tcPr>
          <w:p>
            <w:r>
              <w:rPr>
                <w:b/>
                <w:sz w:val="18"/>
              </w:rPr>
              <w:t>Part</w:t>
            </w:r>
          </w:p>
        </w:tc>
      </w:tr>
      <w:tr>
        <w:tc>
          <w:tcPr>
            <w:tcW w:type="dxa" w:w="3249"/>
            <w:vAlign w:val="center"/>
          </w:tcPr>
          <w:p>
            <w:r>
              <w:rPr>
                <w:sz w:val="18"/>
              </w:rPr>
              <w:t>Rattachée à un individu séquencé</w:t>
            </w:r>
          </w:p>
        </w:tc>
        <w:tc>
          <w:tcPr>
            <w:tcW w:type="dxa" w:w="3249"/>
            <w:vAlign w:val="center"/>
          </w:tcPr>
          <w:p>
            <w:r>
              <w:rPr>
                <w:sz w:val="18"/>
              </w:rPr>
              <w:t>36 020</w:t>
            </w:r>
          </w:p>
        </w:tc>
        <w:tc>
          <w:tcPr>
            <w:tcW w:type="dxa" w:w="3249"/>
            <w:vAlign w:val="center"/>
          </w:tcPr>
          <w:p>
            <w:r>
              <w:rPr>
                <w:sz w:val="18"/>
              </w:rPr>
              <w:t>78,1 %</w:t>
            </w:r>
          </w:p>
        </w:tc>
      </w:tr>
      <w:tr>
        <w:tc>
          <w:tcPr>
            <w:tcW w:type="dxa" w:w="3249"/>
            <w:vAlign w:val="center"/>
          </w:tcPr>
          <w:p>
            <w:r>
              <w:rPr>
                <w:sz w:val="18"/>
              </w:rPr>
              <w:t>Documentaire / non rattachée</w:t>
            </w:r>
          </w:p>
        </w:tc>
        <w:tc>
          <w:tcPr>
            <w:tcW w:type="dxa" w:w="3249"/>
            <w:vAlign w:val="center"/>
          </w:tcPr>
          <w:p>
            <w:r>
              <w:rPr>
                <w:sz w:val="18"/>
              </w:rPr>
              <w:t>10 097</w:t>
            </w:r>
          </w:p>
        </w:tc>
        <w:tc>
          <w:tcPr>
            <w:tcW w:type="dxa" w:w="3249"/>
            <w:vAlign w:val="center"/>
          </w:tcPr>
          <w:p>
            <w:r>
              <w:rPr>
                <w:sz w:val="18"/>
              </w:rPr>
              <w:t>21,9 %</w:t>
            </w:r>
          </w:p>
        </w:tc>
      </w:tr>
    </w:tbl>
    <w:p>
      <w:pPr>
        <w:spacing w:after="20"/>
      </w:pPr>
    </w:p>
    <w:p>
      <w:pPr>
        <w:pStyle w:val="Heading3"/>
      </w:pPr>
      <w:r>
        <w:t>3.4.3 Validation groupée</w:t>
      </w:r>
    </w:p>
    <w:p>
      <w:r>
        <w:t>La validation principale utilise la procédure StratifiedGroupKFold de scikit-learn [10], en cinq plis, avec groupement par identifiant patient lorsque celui-ci est disponible. Pour NEG-v1, le recouvrement de groupes entre apprentissage et test a été mesuré à zéro sur les cinq plis, ce qui constitue un contrôle explicite contre la fuite d’information au niveau patient. Pour le corpus v3, le groupement utilise l’identifiant de famille, qui englobe l’identifiant patient : une famille entière est placée soit en apprentissage, soit en test, et le script d’entraînement vérifie par assertion, à chaque pli, l’absence de recouvrement de familles. Le corpus v3 croisé comprend 1 379 individus répartis en 1 378 familles. Pour les expériences définitives, un ensemble final est mis de côté avant toute validation croisée (§ 3.4.4).</w:t>
      </w:r>
    </w:p>
    <w:p>
      <w:pPr>
        <w:pStyle w:val="Heading3"/>
      </w:pPr>
      <w:r>
        <w:t>3.4.4 Ensemble final et protocole d’évaluation commun</w:t>
      </w:r>
    </w:p>
    <w:p>
      <w:r>
        <w:t>Avant toute expérience définitive, 138 familles (7 620 lignes, soit 10 % des familles et environ 10 % des lignes) sont mises de côté au moyen d’un StratifiedGroupKFold à dix groupes (graine 42), dont un seul est conservé. Cet ensemble final n’est utilisé ni pour l’entraînement, ni pour le réglage des hyperparamètres, ni pour le choix du modèle ou de sa variante ; il sera évalué une seule fois, pour le modèle retenu (chapitre 5). Les 68 408 autres lignes servent à une validation croisée en cinq plis groupée par famille (graine 42). Dans chaque pli, 10 % des familles de l’entraînement forment un sous-ensemble de validation interne, utilisé pour l’arrêt anticipé de l’apprentissage ; le pli de test n’intervient jamais dans ce choix.</w:t>
      </w:r>
    </w:p>
    <w:p>
      <w:r>
        <w:t>Le découpage est défini une seule fois, dans protocole_commun.py, et partagé par le Deep Learning, XGBoost et Random Forest. Il est consigné ligne par ligne dans le fichier decoupage_v7.csv, avec des assertions vérifiant l’absence de recouvrement de familles entre l’ensemble final, l’entraînement et le test. Les trois modèles reçoivent les mêmes 12 gènes et les mêmes empreintes moléculaires. Le déséquilibre des classes est traité par une pondération de la perte et des poids de classes équivalents pour les modèles d’arbres, et non par suréchantillonnage : interpoler des empreintes binaires créerait des molécules qui n’existent pas. Les métriques sont calculées par une même fonction : F1 macro, F1 hors SURVEILLER, exactitude, CER strict (1 − rappel de la classe EVITER), précision EVITER, log-loss et erreur de calibration attendue (ECE).</w:t>
      </w:r>
    </w:p>
    <w:p>
      <w:r>
        <w:t>Ce protocole a été fixé après un premier essai exploratoire du Deep Learning sans ensemble final. Les variantes d’architecture évaluées ensuite ont été définies à partir de l’analyse des erreurs de cet essai ; c’est pour cette raison que le chiffre définitif est mesuré sur des familles qui n’ont jamais servi à ces choix. Le détail de la chronologie est donné au chapitre 5.</w:t>
      </w:r>
    </w:p>
    <w:p>
      <w:pPr>
        <w:pStyle w:val="Heading2"/>
      </w:pPr>
      <w:r>
        <w:t>3.5 Audit des conflits d’étiquettes</w:t>
      </w:r>
    </w:p>
    <w:p>
      <w:pPr>
        <w:pStyle w:val="Heading3"/>
      </w:pPr>
      <w:r>
        <w:t>3.5.1 Étendue de l’audit</w:t>
      </w:r>
    </w:p>
    <w:p>
      <w:r>
        <w:t>L’audit a porté sur 309 paires gène–médicament susceptibles de présenter une divergence ou nécessitant une vérification de cohérence. Ces 309 paires constituent le périmètre audité et ne doivent pas être présentées comme 309 conflits avérés.</w:t>
      </w:r>
    </w:p>
    <w:p>
      <w:pPr>
        <w:pStyle w:val="Heading3"/>
      </w:pPr>
      <w:r>
        <w:t>3.5.2 Résolution</w:t>
      </w:r>
    </w:p>
    <w:p>
      <w:r>
        <w:t>Trois passes ont été appliquées : recherche d’une ligne directrice directement applicable, recherche élargie dans plusieurs sources, puis suppression des lignes jugées invalides ou non résolubles. Au total, 174 lignes ont été retirées.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État après audit</w:t>
            </w:r>
          </w:p>
        </w:tc>
        <w:tc>
          <w:tcPr>
            <w:tcW w:type="dxa" w:w="3249"/>
            <w:shd w:fill="D9EAF7"/>
          </w:tcPr>
          <w:p>
            <w:r>
              <w:rPr>
                <w:b/>
                <w:sz w:val="18"/>
              </w:rPr>
              <w:t>Paires</w:t>
            </w:r>
          </w:p>
        </w:tc>
        <w:tc>
          <w:tcPr>
            <w:tcW w:type="dxa" w:w="3249"/>
            <w:shd w:fill="D9EAF7"/>
          </w:tcPr>
          <w:p>
            <w:r>
              <w:rPr>
                <w:b/>
                <w:sz w:val="18"/>
              </w:rPr>
              <w:t>Interprétation</w:t>
            </w:r>
          </w:p>
        </w:tc>
      </w:tr>
      <w:tr>
        <w:tc>
          <w:tcPr>
            <w:tcW w:type="dxa" w:w="3249"/>
            <w:vAlign w:val="center"/>
          </w:tcPr>
          <w:p>
            <w:r>
              <w:rPr>
                <w:sz w:val="18"/>
              </w:rPr>
              <w:t>Aucune guideline CPIC identifiée</w:t>
            </w:r>
          </w:p>
        </w:tc>
        <w:tc>
          <w:tcPr>
            <w:tcW w:type="dxa" w:w="3249"/>
            <w:vAlign w:val="center"/>
          </w:tcPr>
          <w:p>
            <w:r>
              <w:rPr>
                <w:sz w:val="18"/>
              </w:rPr>
              <w:t>150</w:t>
            </w:r>
          </w:p>
        </w:tc>
        <w:tc>
          <w:tcPr>
            <w:tcW w:type="dxa" w:w="3249"/>
            <w:vAlign w:val="center"/>
          </w:tcPr>
          <w:p>
            <w:r>
              <w:rPr>
                <w:sz w:val="18"/>
              </w:rPr>
              <w:t>Pas de correspondance CPIC directe dans l’audit</w:t>
            </w:r>
          </w:p>
        </w:tc>
      </w:tr>
      <w:tr>
        <w:tc>
          <w:tcPr>
            <w:tcW w:type="dxa" w:w="3249"/>
            <w:vAlign w:val="center"/>
          </w:tcPr>
          <w:p>
            <w:r>
              <w:rPr>
                <w:sz w:val="18"/>
              </w:rPr>
              <w:t>Guideline trouvée mais action non extractible</w:t>
            </w:r>
          </w:p>
        </w:tc>
        <w:tc>
          <w:tcPr>
            <w:tcW w:type="dxa" w:w="3249"/>
            <w:vAlign w:val="center"/>
          </w:tcPr>
          <w:p>
            <w:r>
              <w:rPr>
                <w:sz w:val="18"/>
              </w:rPr>
              <w:t>78</w:t>
            </w:r>
          </w:p>
        </w:tc>
        <w:tc>
          <w:tcPr>
            <w:tcW w:type="dxa" w:w="3249"/>
            <w:vAlign w:val="center"/>
          </w:tcPr>
          <w:p>
            <w:r>
              <w:rPr>
                <w:sz w:val="18"/>
              </w:rPr>
              <w:t>Texte non transformable de façon fiable en classe</w:t>
            </w:r>
          </w:p>
        </w:tc>
      </w:tr>
      <w:tr>
        <w:tc>
          <w:tcPr>
            <w:tcW w:type="dxa" w:w="3249"/>
            <w:vAlign w:val="center"/>
          </w:tcPr>
          <w:p>
            <w:r>
              <w:rPr>
                <w:sz w:val="18"/>
              </w:rPr>
              <w:t>Cohérence rétablie</w:t>
            </w:r>
          </w:p>
        </w:tc>
        <w:tc>
          <w:tcPr>
            <w:tcW w:type="dxa" w:w="3249"/>
            <w:vAlign w:val="center"/>
          </w:tcPr>
          <w:p>
            <w:r>
              <w:rPr>
                <w:sz w:val="18"/>
              </w:rPr>
              <w:t>75</w:t>
            </w:r>
          </w:p>
        </w:tc>
        <w:tc>
          <w:tcPr>
            <w:tcW w:type="dxa" w:w="3249"/>
            <w:vAlign w:val="center"/>
          </w:tcPr>
          <w:p>
            <w:r>
              <w:rPr>
                <w:sz w:val="18"/>
              </w:rPr>
              <w:t>Étiquette harmonisée après contrôle</w:t>
            </w:r>
          </w:p>
        </w:tc>
      </w:tr>
      <w:tr>
        <w:tc>
          <w:tcPr>
            <w:tcW w:type="dxa" w:w="3249"/>
            <w:vAlign w:val="center"/>
          </w:tcPr>
          <w:p>
            <w:r>
              <w:rPr>
                <w:sz w:val="18"/>
              </w:rPr>
              <w:t>Conflit persistant légitime</w:t>
            </w:r>
          </w:p>
        </w:tc>
        <w:tc>
          <w:tcPr>
            <w:tcW w:type="dxa" w:w="3249"/>
            <w:vAlign w:val="center"/>
          </w:tcPr>
          <w:p>
            <w:r>
              <w:rPr>
                <w:sz w:val="18"/>
              </w:rPr>
              <w:t>6</w:t>
            </w:r>
          </w:p>
        </w:tc>
        <w:tc>
          <w:tcPr>
            <w:tcW w:type="dxa" w:w="3249"/>
            <w:vAlign w:val="center"/>
          </w:tcPr>
          <w:p>
            <w:r>
              <w:rPr>
                <w:sz w:val="18"/>
              </w:rPr>
              <w:t>Action dépendante du phénotype ou du contexte</w:t>
            </w:r>
          </w:p>
        </w:tc>
      </w:tr>
    </w:tbl>
    <w:p>
      <w:pPr>
        <w:spacing w:after="20"/>
      </w:pPr>
    </w:p>
    <w:p>
      <w:pPr>
        <w:pStyle w:val="Heading3"/>
      </w:pPr>
      <w:r>
        <w:t>3.5.3 Conflits persistants</w:t>
      </w:r>
    </w:p>
    <w:p>
      <w:r>
        <w:t>Six paires restent associées à plusieurs actions dans le corpus : CYP2C19–mavacamten, CYP2C19–voriconazole, CYP2C9–fluvastatine, CYP2D6–tamoxifène, CYP3A5–tacrolimus et SLCO1B1–fluvastatine. Ces cas soutiennent la formulation retenue dans PharmaGeno : l’action dépend du profil du patient et du médicament, et non d’une règle gène → action fixe.</w:t>
      </w:r>
    </w:p>
    <w:p>
      <w:pPr>
        <w:pStyle w:val="Heading3"/>
      </w:pPr>
      <w:r>
        <w:t>3.5.4 Contrôle des étiquettes par les règles des lignes directrices</w:t>
      </w:r>
    </w:p>
    <w:p>
      <w:r>
        <w:t>Un second audit a comparé les étiquettes du corpus d’origine aux règles extraites du texte des lignes directrices (§ 3.2). Sur les 23 667 lignes du corpus pour lesquelles une règle utilisable s’applique, l’étiquette d’origine coïncide avec l’action de la règle dans 19,1 % des cas. L’accord diffère fortement selon l’origine des lignes.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Origine des lignes</w:t>
            </w:r>
          </w:p>
        </w:tc>
        <w:tc>
          <w:tcPr>
            <w:tcW w:type="dxa" w:w="3249"/>
            <w:shd w:fill="D9EAF7"/>
          </w:tcPr>
          <w:p>
            <w:r>
              <w:rPr>
                <w:b/>
                <w:sz w:val="18"/>
              </w:rPr>
              <w:t>Lignes comparées</w:t>
            </w:r>
          </w:p>
        </w:tc>
        <w:tc>
          <w:tcPr>
            <w:tcW w:type="dxa" w:w="3249"/>
            <w:shd w:fill="D9EAF7"/>
          </w:tcPr>
          <w:p>
            <w:r>
              <w:rPr>
                <w:b/>
                <w:sz w:val="18"/>
              </w:rPr>
              <w:t>Accord avec les règles</w:t>
            </w:r>
          </w:p>
        </w:tc>
      </w:tr>
      <w:tr>
        <w:tc>
          <w:tcPr>
            <w:tcW w:type="dxa" w:w="3249"/>
            <w:vAlign w:val="center"/>
          </w:tcPr>
          <w:p>
            <w:r>
              <w:rPr>
                <w:sz w:val="18"/>
              </w:rPr>
              <w:t>Individus 1000 Genomes (HG)</w:t>
            </w:r>
          </w:p>
        </w:tc>
        <w:tc>
          <w:tcPr>
            <w:tcW w:type="dxa" w:w="3249"/>
            <w:vAlign w:val="center"/>
          </w:tcPr>
          <w:p>
            <w:r>
              <w:rPr>
                <w:sz w:val="18"/>
              </w:rPr>
              <w:t>16 806</w:t>
            </w:r>
          </w:p>
        </w:tc>
        <w:tc>
          <w:tcPr>
            <w:tcW w:type="dxa" w:w="3249"/>
            <w:vAlign w:val="center"/>
          </w:tcPr>
          <w:p>
            <w:r>
              <w:rPr>
                <w:sz w:val="18"/>
              </w:rPr>
              <w:t>12,9 %</w:t>
            </w:r>
          </w:p>
        </w:tc>
      </w:tr>
      <w:tr>
        <w:tc>
          <w:tcPr>
            <w:tcW w:type="dxa" w:w="3249"/>
            <w:vAlign w:val="center"/>
          </w:tcPr>
          <w:p>
            <w:r>
              <w:rPr>
                <w:sz w:val="18"/>
              </w:rPr>
              <w:t>Individus 1000 Genomes (NA)</w:t>
            </w:r>
          </w:p>
        </w:tc>
        <w:tc>
          <w:tcPr>
            <w:tcW w:type="dxa" w:w="3249"/>
            <w:vAlign w:val="center"/>
          </w:tcPr>
          <w:p>
            <w:r>
              <w:rPr>
                <w:sz w:val="18"/>
              </w:rPr>
              <w:t>5 106</w:t>
            </w:r>
          </w:p>
        </w:tc>
        <w:tc>
          <w:tcPr>
            <w:tcW w:type="dxa" w:w="3249"/>
            <w:vAlign w:val="center"/>
          </w:tcPr>
          <w:p>
            <w:r>
              <w:rPr>
                <w:sz w:val="18"/>
              </w:rPr>
              <w:t>14,6 %</w:t>
            </w:r>
          </w:p>
        </w:tc>
      </w:tr>
      <w:tr>
        <w:tc>
          <w:tcPr>
            <w:tcW w:type="dxa" w:w="3249"/>
            <w:vAlign w:val="center"/>
          </w:tcPr>
          <w:p>
            <w:r>
              <w:rPr>
                <w:sz w:val="18"/>
              </w:rPr>
              <w:t>Lignes documentaires (DOC)</w:t>
            </w:r>
          </w:p>
        </w:tc>
        <w:tc>
          <w:tcPr>
            <w:tcW w:type="dxa" w:w="3249"/>
            <w:vAlign w:val="center"/>
          </w:tcPr>
          <w:p>
            <w:r>
              <w:rPr>
                <w:sz w:val="18"/>
              </w:rPr>
              <w:t>1 755</w:t>
            </w:r>
          </w:p>
        </w:tc>
        <w:tc>
          <w:tcPr>
            <w:tcW w:type="dxa" w:w="3249"/>
            <w:vAlign w:val="center"/>
          </w:tcPr>
          <w:p>
            <w:r>
              <w:rPr>
                <w:sz w:val="18"/>
              </w:rPr>
              <w:t>91,5 %</w:t>
            </w:r>
          </w:p>
        </w:tc>
      </w:tr>
      <w:tr>
        <w:tc>
          <w:tcPr>
            <w:tcW w:type="dxa" w:w="3249"/>
            <w:vAlign w:val="center"/>
          </w:tcPr>
          <w:p>
            <w:r>
              <w:rPr>
                <w:sz w:val="18"/>
              </w:rPr>
              <w:t>Ensemble</w:t>
            </w:r>
          </w:p>
        </w:tc>
        <w:tc>
          <w:tcPr>
            <w:tcW w:type="dxa" w:w="3249"/>
            <w:vAlign w:val="center"/>
          </w:tcPr>
          <w:p>
            <w:r>
              <w:rPr>
                <w:sz w:val="18"/>
              </w:rPr>
              <w:t>23 667</w:t>
            </w:r>
          </w:p>
        </w:tc>
        <w:tc>
          <w:tcPr>
            <w:tcW w:type="dxa" w:w="3249"/>
            <w:vAlign w:val="center"/>
          </w:tcPr>
          <w:p>
            <w:r>
              <w:rPr>
                <w:sz w:val="18"/>
              </w:rPr>
              <w:t>19,1 %</w:t>
            </w:r>
          </w:p>
        </w:tc>
      </w:tr>
    </w:tbl>
    <w:p/>
    <w:p>
      <w:r>
        <w:t>Le script de construction du corpus d’origine (build_full_dataset.py) associe la catégorie de phénotype PharmGKB à une action selon la correspondance Toxicity → EVITER, Efficacy → EVITER, Dosage et Metabolism/PK → ADAPTER_DOSE, Other → SURVEILLER. Cette correspondance est une convention de construction et non une recommandation de ligne directrice. Parmi les 3 454 lignes EVITER selon les règles, 22,4 % seulement portaient l’étiquette EVITER dans le corpus d’origine. Pour six médicaments de référence, l’accord est le suivant : codéine 0,5 % (635 lignes) ; clopidogrel 0,4 % (907 lignes) ; oméprazole 0,0 % (903 lignes) ; tramadol 0,5 % (637 lignes) ; tacrolimus 0,3 % (1 157 lignes) ; fluorouracile 1,8 % (113 lignes).</w:t>
      </w:r>
    </w:p>
    <w:p>
      <w:r>
        <w:t>Les règles ont elles-mêmes été contrôlées. 59 règles mono-gène et 22 règles à deux gènes sont ambiguës, leur texte contenant à la fois une conduite d’évitement et une conduite d’ajustement de dose. 23 règles mono-gène et 11 règles à deux gènes sont conditionnelles : l’action dépend d’une indication ou d’une co-médication. 123 règles mono-gène portent sur des gènes dont le codage des valeurs reste à valider (G6PD 100, MT-RNR1 22, HLA-B 1). 3 règles présentent un conflit interne à la source et 68 règles mono-gène sont en désaccord avec une autre source.</w:t>
      </w:r>
    </w:p>
    <w:p>
      <w:r>
        <w:t>Les règles conditionnelles ont été relues dans le texte complet des lignes directrices. Quatorze des seize règles mono-gène conditionnelles non ambiguës ont été acceptées, la condition ne modifiant pas la classe d’action : clopidogrel pour les métaboliseurs lents et intermédiaires (avec la réserve que la recommandation pour les intermédiaires ne s’applique qu’aux syndromes coronariens aigus et aux interventions coronariennes percutanées), thiopurines pour TPMT et NUDT15 intermédiaires, irinotécan pour UGT1A1 lent, siponimod, brexpiprazole, capécitabine et fluorouracile pour le génotype DPYD normal. Deux restent exclues : l’eliglustat, dont l’action dépend de la co-médication, et la flécaïnide, pour laquelle aucune action n’est requise lors du test de Brugada. Les règles ambiguës, les règles à deux gènes conditionnelles et celles qui impliquent HLA-B, G6PD ou MT-RNR1 sont exclues dans l’attente d’une relecture experte.</w:t>
      </w:r>
    </w:p>
    <w:p>
      <w:r>
        <w:t>Un test de référence contrôle 19 couples gène–valeur (codéine, tramadol, clopidogrel, simvastatine, fluorouracile, tacrolimus, oméprazole) dont l’action attendue a été écrite à la main d’après le texte des lignes directrices, indépendamment du code de construction : l’accord est de 100 %. Ce test vérifie la chaîne de construction et non les lignes directrices elles-mêmes.</w:t>
      </w:r>
    </w:p>
    <w:p>
      <w:pPr>
        <w:pStyle w:val="Heading2"/>
      </w:pPr>
      <w:r>
        <w:t>3.6 Représentation moléculaire des médicaments</w:t>
      </w:r>
    </w:p>
    <w:p>
      <w:pPr>
        <w:pStyle w:val="Heading3"/>
      </w:pPr>
      <w:r>
        <w:t>3.6.1 Couverture</w:t>
      </w:r>
    </w:p>
    <w:p>
      <w:r>
        <w:t>Le corpus documentaire comportait 530 médicaments distincts avant le filtrage lié aux représentations moléculaires. Une empreinte exploitable était disponible pour 437 médicaments, soit 82,5 % des molécules mais environ 99,5 % des lignes. Les 93 entités restantes correspondent à des situations hétérogènes.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Situation</w:t>
            </w:r>
          </w:p>
        </w:tc>
        <w:tc>
          <w:tcPr>
            <w:tcW w:type="dxa" w:w="3249"/>
            <w:shd w:fill="D9EAF7"/>
          </w:tcPr>
          <w:p>
            <w:r>
              <w:rPr>
                <w:b/>
                <w:sz w:val="18"/>
              </w:rPr>
              <w:t>Nombre</w:t>
            </w:r>
          </w:p>
        </w:tc>
        <w:tc>
          <w:tcPr>
            <w:tcW w:type="dxa" w:w="3249"/>
            <w:shd w:fill="D9EAF7"/>
          </w:tcPr>
          <w:p>
            <w:r>
              <w:rPr>
                <w:b/>
                <w:sz w:val="18"/>
              </w:rPr>
              <w:t>Traitement méthodologique</w:t>
            </w:r>
          </w:p>
        </w:tc>
      </w:tr>
      <w:tr>
        <w:tc>
          <w:tcPr>
            <w:tcW w:type="dxa" w:w="3249"/>
            <w:vAlign w:val="center"/>
          </w:tcPr>
          <w:p>
            <w:r>
              <w:rPr>
                <w:sz w:val="18"/>
              </w:rPr>
              <w:t>Petite molécule sans empreinte</w:t>
            </w:r>
          </w:p>
        </w:tc>
        <w:tc>
          <w:tcPr>
            <w:tcW w:type="dxa" w:w="3249"/>
            <w:vAlign w:val="center"/>
          </w:tcPr>
          <w:p>
            <w:r>
              <w:rPr>
                <w:sz w:val="18"/>
              </w:rPr>
              <w:t>21</w:t>
            </w:r>
          </w:p>
        </w:tc>
        <w:tc>
          <w:tcPr>
            <w:tcW w:type="dxa" w:w="3249"/>
            <w:vAlign w:val="center"/>
          </w:tcPr>
          <w:p>
            <w:r>
              <w:rPr>
                <w:sz w:val="18"/>
              </w:rPr>
              <w:t>Lacune potentiellement comblable</w:t>
            </w:r>
          </w:p>
        </w:tc>
      </w:tr>
      <w:tr>
        <w:tc>
          <w:tcPr>
            <w:tcW w:type="dxa" w:w="3249"/>
            <w:vAlign w:val="center"/>
          </w:tcPr>
          <w:p>
            <w:r>
              <w:rPr>
                <w:sz w:val="18"/>
              </w:rPr>
              <w:t>Classe thérapeutique</w:t>
            </w:r>
          </w:p>
        </w:tc>
        <w:tc>
          <w:tcPr>
            <w:tcW w:type="dxa" w:w="3249"/>
            <w:vAlign w:val="center"/>
          </w:tcPr>
          <w:p>
            <w:r>
              <w:rPr>
                <w:sz w:val="18"/>
              </w:rPr>
              <w:t>20</w:t>
            </w:r>
          </w:p>
        </w:tc>
        <w:tc>
          <w:tcPr>
            <w:tcW w:type="dxa" w:w="3249"/>
            <w:vAlign w:val="center"/>
          </w:tcPr>
          <w:p>
            <w:r>
              <w:rPr>
                <w:sz w:val="18"/>
              </w:rPr>
              <w:t>Pas de structure chimique unique</w:t>
            </w:r>
          </w:p>
        </w:tc>
      </w:tr>
      <w:tr>
        <w:tc>
          <w:tcPr>
            <w:tcW w:type="dxa" w:w="3249"/>
            <w:vAlign w:val="center"/>
          </w:tcPr>
          <w:p>
            <w:r>
              <w:rPr>
                <w:sz w:val="18"/>
              </w:rPr>
              <w:t>Métabolite sans empreinte</w:t>
            </w:r>
          </w:p>
        </w:tc>
        <w:tc>
          <w:tcPr>
            <w:tcW w:type="dxa" w:w="3249"/>
            <w:vAlign w:val="center"/>
          </w:tcPr>
          <w:p>
            <w:r>
              <w:rPr>
                <w:sz w:val="18"/>
              </w:rPr>
              <w:t>20</w:t>
            </w:r>
          </w:p>
        </w:tc>
        <w:tc>
          <w:tcPr>
            <w:tcW w:type="dxa" w:w="3249"/>
            <w:vAlign w:val="center"/>
          </w:tcPr>
          <w:p>
            <w:r>
              <w:rPr>
                <w:sz w:val="18"/>
              </w:rPr>
              <w:t>Structure distincte à rechercher séparément</w:t>
            </w:r>
          </w:p>
        </w:tc>
      </w:tr>
      <w:tr>
        <w:tc>
          <w:tcPr>
            <w:tcW w:type="dxa" w:w="3249"/>
            <w:vAlign w:val="center"/>
          </w:tcPr>
          <w:p>
            <w:r>
              <w:rPr>
                <w:sz w:val="18"/>
              </w:rPr>
              <w:t>Biologique / macromolécule</w:t>
            </w:r>
          </w:p>
        </w:tc>
        <w:tc>
          <w:tcPr>
            <w:tcW w:type="dxa" w:w="3249"/>
            <w:vAlign w:val="center"/>
          </w:tcPr>
          <w:p>
            <w:r>
              <w:rPr>
                <w:sz w:val="18"/>
              </w:rPr>
              <w:t>13</w:t>
            </w:r>
          </w:p>
        </w:tc>
        <w:tc>
          <w:tcPr>
            <w:tcW w:type="dxa" w:w="3249"/>
            <w:vAlign w:val="center"/>
          </w:tcPr>
          <w:p>
            <w:r>
              <w:rPr>
                <w:sz w:val="18"/>
              </w:rPr>
              <w:t>Hors périmètre des fingerprints Morgan</w:t>
            </w:r>
          </w:p>
        </w:tc>
      </w:tr>
      <w:tr>
        <w:tc>
          <w:tcPr>
            <w:tcW w:type="dxa" w:w="3249"/>
            <w:vAlign w:val="center"/>
          </w:tcPr>
          <w:p>
            <w:r>
              <w:rPr>
                <w:sz w:val="18"/>
              </w:rPr>
              <w:t>Combinaison de principes actifs</w:t>
            </w:r>
          </w:p>
        </w:tc>
        <w:tc>
          <w:tcPr>
            <w:tcW w:type="dxa" w:w="3249"/>
            <w:vAlign w:val="center"/>
          </w:tcPr>
          <w:p>
            <w:r>
              <w:rPr>
                <w:sz w:val="18"/>
              </w:rPr>
              <w:t>10</w:t>
            </w:r>
          </w:p>
        </w:tc>
        <w:tc>
          <w:tcPr>
            <w:tcW w:type="dxa" w:w="3249"/>
            <w:vAlign w:val="center"/>
          </w:tcPr>
          <w:p>
            <w:r>
              <w:rPr>
                <w:sz w:val="18"/>
              </w:rPr>
              <w:t>Nécessite une stratégie spécifique</w:t>
            </w:r>
          </w:p>
        </w:tc>
      </w:tr>
      <w:tr>
        <w:tc>
          <w:tcPr>
            <w:tcW w:type="dxa" w:w="3249"/>
            <w:vAlign w:val="center"/>
          </w:tcPr>
          <w:p>
            <w:r>
              <w:rPr>
                <w:sz w:val="18"/>
              </w:rPr>
              <w:t>Erreur d’analyse syntaxique</w:t>
            </w:r>
          </w:p>
        </w:tc>
        <w:tc>
          <w:tcPr>
            <w:tcW w:type="dxa" w:w="3249"/>
            <w:vAlign w:val="center"/>
          </w:tcPr>
          <w:p>
            <w:r>
              <w:rPr>
                <w:sz w:val="18"/>
              </w:rPr>
              <w:t>8</w:t>
            </w:r>
          </w:p>
        </w:tc>
        <w:tc>
          <w:tcPr>
            <w:tcW w:type="dxa" w:w="3249"/>
            <w:vAlign w:val="center"/>
          </w:tcPr>
          <w:p>
            <w:r>
              <w:rPr>
                <w:sz w:val="18"/>
              </w:rPr>
              <w:t>Erreur de parsing à corriger</w:t>
            </w:r>
          </w:p>
        </w:tc>
      </w:tr>
      <w:tr>
        <w:tc>
          <w:tcPr>
            <w:tcW w:type="dxa" w:w="3249"/>
            <w:vAlign w:val="center"/>
          </w:tcPr>
          <w:p>
            <w:r>
              <w:rPr>
                <w:sz w:val="18"/>
              </w:rPr>
              <w:t>Forme galénique</w:t>
            </w:r>
          </w:p>
        </w:tc>
        <w:tc>
          <w:tcPr>
            <w:tcW w:type="dxa" w:w="3249"/>
            <w:vAlign w:val="center"/>
          </w:tcPr>
          <w:p>
            <w:r>
              <w:rPr>
                <w:sz w:val="18"/>
              </w:rPr>
              <w:t>1</w:t>
            </w:r>
          </w:p>
        </w:tc>
        <w:tc>
          <w:tcPr>
            <w:tcW w:type="dxa" w:w="3249"/>
            <w:vAlign w:val="center"/>
          </w:tcPr>
          <w:p>
            <w:r>
              <w:rPr>
                <w:sz w:val="18"/>
              </w:rPr>
              <w:t>Entité non moléculaire unique</w:t>
            </w:r>
          </w:p>
        </w:tc>
      </w:tr>
    </w:tbl>
    <w:p>
      <w:pPr>
        <w:spacing w:after="20"/>
      </w:pPr>
    </w:p>
    <w:p>
      <w:pPr>
        <w:pStyle w:val="Heading3"/>
      </w:pPr>
      <w:r>
        <w:t>3.6.2 Incident des empreintes nulles</w:t>
      </w:r>
    </w:p>
    <w:p>
      <w:r>
        <w:t>Un audit a montré que les anciens fichiers d’empreintes contenaient 437 vecteurs de 518 variables dont les 512 bits de Morgan étaient nuls pour chaque médicament. Les six descripteurs physico-chimiques restaient renseignés ; les modèles entraînés avec cette version n’exploitaient donc aucune information structurale issue des fingerprints.</w:t>
      </w:r>
    </w:p>
    <w:p>
      <w:r>
        <w:t>Le script ayant produit ces fichiers n’ayant pas été conservé, la cause exacte ne peut pas être démontrée directement. La cause la plus probable est un changement de nomenclature de l’API PUG REST : la propriété autrefois nommée CanonicalSMILES est désormais renvoyée sous la clé ConnectivitySMILES. La récupération a été reconstruite en testant successivement ConnectivitySMILES, IsomericSMILES et CanonicalSMILES, puis les empreintes ont été régénérées avec RDKit.</w:t>
      </w:r>
    </w:p>
    <w:p>
      <w:pPr>
        <w:pStyle w:val="Heading3"/>
      </w:pPr>
      <w:r>
        <w:t>3.6.3 Recalcul et contrôle qualité</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Paramètre</w:t>
            </w:r>
          </w:p>
        </w:tc>
        <w:tc>
          <w:tcPr>
            <w:tcW w:type="dxa" w:w="4873"/>
            <w:shd w:fill="D9EAF7"/>
          </w:tcPr>
          <w:p>
            <w:r>
              <w:rPr>
                <w:b/>
                <w:sz w:val="18"/>
              </w:rPr>
              <w:t>Valeur</w:t>
            </w:r>
          </w:p>
        </w:tc>
      </w:tr>
      <w:tr>
        <w:tc>
          <w:tcPr>
            <w:tcW w:type="dxa" w:w="4873"/>
            <w:vAlign w:val="center"/>
          </w:tcPr>
          <w:p>
            <w:r>
              <w:rPr>
                <w:sz w:val="18"/>
              </w:rPr>
              <w:t>Source des structures</w:t>
            </w:r>
          </w:p>
        </w:tc>
        <w:tc>
          <w:tcPr>
            <w:tcW w:type="dxa" w:w="4873"/>
            <w:vAlign w:val="center"/>
          </w:tcPr>
          <w:p>
            <w:r>
              <w:rPr>
                <w:sz w:val="18"/>
              </w:rPr>
              <w:t>PubChem PUG REST [4]</w:t>
            </w:r>
          </w:p>
        </w:tc>
      </w:tr>
      <w:tr>
        <w:tc>
          <w:tcPr>
            <w:tcW w:type="dxa" w:w="4873"/>
            <w:vAlign w:val="center"/>
          </w:tcPr>
          <w:p>
            <w:r>
              <w:rPr>
                <w:sz w:val="18"/>
              </w:rPr>
              <w:t>Bibliothèque</w:t>
            </w:r>
          </w:p>
        </w:tc>
        <w:tc>
          <w:tcPr>
            <w:tcW w:type="dxa" w:w="4873"/>
            <w:vAlign w:val="center"/>
          </w:tcPr>
          <w:p>
            <w:r>
              <w:rPr>
                <w:sz w:val="18"/>
              </w:rPr>
              <w:t>RDKit 2026.03.6 [5]</w:t>
            </w:r>
          </w:p>
        </w:tc>
      </w:tr>
      <w:tr>
        <w:tc>
          <w:tcPr>
            <w:tcW w:type="dxa" w:w="4873"/>
            <w:vAlign w:val="center"/>
          </w:tcPr>
          <w:p>
            <w:r>
              <w:rPr>
                <w:sz w:val="18"/>
              </w:rPr>
              <w:t>Fingerprint</w:t>
            </w:r>
          </w:p>
        </w:tc>
        <w:tc>
          <w:tcPr>
            <w:tcW w:type="dxa" w:w="4873"/>
            <w:vAlign w:val="center"/>
          </w:tcPr>
          <w:p>
            <w:r>
              <w:rPr>
                <w:sz w:val="18"/>
              </w:rPr>
              <w:t>Morgan circulaire, rayon 2 [6]</w:t>
            </w:r>
          </w:p>
        </w:tc>
      </w:tr>
      <w:tr>
        <w:tc>
          <w:tcPr>
            <w:tcW w:type="dxa" w:w="4873"/>
            <w:vAlign w:val="center"/>
          </w:tcPr>
          <w:p>
            <w:r>
              <w:rPr>
                <w:sz w:val="18"/>
              </w:rPr>
              <w:t>Longueur</w:t>
            </w:r>
          </w:p>
        </w:tc>
        <w:tc>
          <w:tcPr>
            <w:tcW w:type="dxa" w:w="4873"/>
            <w:vAlign w:val="center"/>
          </w:tcPr>
          <w:p>
            <w:r>
              <w:rPr>
                <w:sz w:val="18"/>
              </w:rPr>
              <w:t>512 bits</w:t>
            </w:r>
          </w:p>
        </w:tc>
      </w:tr>
      <w:tr>
        <w:tc>
          <w:tcPr>
            <w:tcW w:type="dxa" w:w="4873"/>
            <w:vAlign w:val="center"/>
          </w:tcPr>
          <w:p>
            <w:r>
              <w:rPr>
                <w:sz w:val="18"/>
              </w:rPr>
              <w:t>Descripteurs</w:t>
            </w:r>
          </w:p>
        </w:tc>
        <w:tc>
          <w:tcPr>
            <w:tcW w:type="dxa" w:w="4873"/>
            <w:vAlign w:val="center"/>
          </w:tcPr>
          <w:p>
            <w:r>
              <w:rPr>
                <w:sz w:val="18"/>
              </w:rPr>
              <w:t>MW, LogP, HBD, HBA, RB, TPSA</w:t>
            </w:r>
          </w:p>
        </w:tc>
      </w:tr>
      <w:tr>
        <w:tc>
          <w:tcPr>
            <w:tcW w:type="dxa" w:w="4873"/>
            <w:vAlign w:val="center"/>
          </w:tcPr>
          <w:p>
            <w:r>
              <w:rPr>
                <w:sz w:val="18"/>
              </w:rPr>
              <w:t>Dimension totale</w:t>
            </w:r>
          </w:p>
        </w:tc>
        <w:tc>
          <w:tcPr>
            <w:tcW w:type="dxa" w:w="4873"/>
            <w:vAlign w:val="center"/>
          </w:tcPr>
          <w:p>
            <w:r>
              <w:rPr>
                <w:sz w:val="18"/>
              </w:rPr>
              <w:t>518</w:t>
            </w:r>
          </w:p>
        </w:tc>
      </w:tr>
    </w:tbl>
    <w:p>
      <w:pPr>
        <w:spacing w:after="20"/>
      </w:pPr>
    </w:p>
    <w:p>
      <w:r>
        <w:t>La récupération s’est faite en deux passes : 402 structures ont été obtenues au premier appel, puis 35 échecs imputables à des réponses 503 PUGREST.ServerBusy ont été repris dans une seconde passe. Les 437 médicaments disposent finalement d’une empreinte non nulle et d’un identifiant PubChem.</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Indicateur</w:t>
            </w:r>
          </w:p>
        </w:tc>
        <w:tc>
          <w:tcPr>
            <w:tcW w:type="dxa" w:w="3249"/>
            <w:shd w:fill="D9EAF7"/>
          </w:tcPr>
          <w:p>
            <w:r>
              <w:rPr>
                <w:b/>
                <w:sz w:val="18"/>
              </w:rPr>
              <w:t>Ancienne version</w:t>
            </w:r>
          </w:p>
        </w:tc>
        <w:tc>
          <w:tcPr>
            <w:tcW w:type="dxa" w:w="3249"/>
            <w:shd w:fill="D9EAF7"/>
          </w:tcPr>
          <w:p>
            <w:r>
              <w:rPr>
                <w:b/>
                <w:sz w:val="18"/>
              </w:rPr>
              <w:t>Version corrigée</w:t>
            </w:r>
          </w:p>
        </w:tc>
      </w:tr>
      <w:tr>
        <w:tc>
          <w:tcPr>
            <w:tcW w:type="dxa" w:w="3249"/>
            <w:vAlign w:val="center"/>
          </w:tcPr>
          <w:p>
            <w:r>
              <w:rPr>
                <w:sz w:val="18"/>
              </w:rPr>
              <w:t>Empreintes entièrement nulles</w:t>
            </w:r>
          </w:p>
        </w:tc>
        <w:tc>
          <w:tcPr>
            <w:tcW w:type="dxa" w:w="3249"/>
            <w:vAlign w:val="center"/>
          </w:tcPr>
          <w:p>
            <w:r>
              <w:rPr>
                <w:sz w:val="18"/>
              </w:rPr>
              <w:t>437</w:t>
            </w:r>
          </w:p>
        </w:tc>
        <w:tc>
          <w:tcPr>
            <w:tcW w:type="dxa" w:w="3249"/>
            <w:vAlign w:val="center"/>
          </w:tcPr>
          <w:p>
            <w:r>
              <w:rPr>
                <w:sz w:val="18"/>
              </w:rPr>
              <w:t>0</w:t>
            </w:r>
          </w:p>
        </w:tc>
      </w:tr>
      <w:tr>
        <w:tc>
          <w:tcPr>
            <w:tcW w:type="dxa" w:w="3249"/>
            <w:vAlign w:val="center"/>
          </w:tcPr>
          <w:p>
            <w:r>
              <w:rPr>
                <w:sz w:val="18"/>
              </w:rPr>
              <w:t>Bits actifs moyens / médicament</w:t>
            </w:r>
          </w:p>
        </w:tc>
        <w:tc>
          <w:tcPr>
            <w:tcW w:type="dxa" w:w="3249"/>
            <w:vAlign w:val="center"/>
          </w:tcPr>
          <w:p>
            <w:r>
              <w:rPr>
                <w:sz w:val="18"/>
              </w:rPr>
              <w:t>0,0</w:t>
            </w:r>
          </w:p>
        </w:tc>
        <w:tc>
          <w:tcPr>
            <w:tcW w:type="dxa" w:w="3249"/>
            <w:vAlign w:val="center"/>
          </w:tcPr>
          <w:p>
            <w:r>
              <w:rPr>
                <w:sz w:val="18"/>
              </w:rPr>
              <w:t>42,9</w:t>
            </w:r>
          </w:p>
        </w:tc>
      </w:tr>
      <w:tr>
        <w:tc>
          <w:tcPr>
            <w:tcW w:type="dxa" w:w="3249"/>
            <w:vAlign w:val="center"/>
          </w:tcPr>
          <w:p>
            <w:r>
              <w:rPr>
                <w:sz w:val="18"/>
              </w:rPr>
              <w:t>Bits jamais actifs dans le référentiel</w:t>
            </w:r>
          </w:p>
        </w:tc>
        <w:tc>
          <w:tcPr>
            <w:tcW w:type="dxa" w:w="3249"/>
            <w:vAlign w:val="center"/>
          </w:tcPr>
          <w:p>
            <w:r>
              <w:rPr>
                <w:sz w:val="18"/>
              </w:rPr>
              <w:t>512</w:t>
            </w:r>
          </w:p>
        </w:tc>
        <w:tc>
          <w:tcPr>
            <w:tcW w:type="dxa" w:w="3249"/>
            <w:vAlign w:val="center"/>
          </w:tcPr>
          <w:p>
            <w:r>
              <w:rPr>
                <w:sz w:val="18"/>
              </w:rPr>
              <w:t>0</w:t>
            </w:r>
          </w:p>
        </w:tc>
      </w:tr>
    </w:tbl>
    <w:p>
      <w:pPr>
        <w:spacing w:after="20"/>
      </w:pPr>
    </w:p>
    <w:p>
      <w:r>
        <w:t>Les structures sont archivées dans drug_smiles.csv avec leur identifiant PubChem. Les anciens résultats restent interprétables comme une baseline « sans information structurale Morgan », tandis que la comparaison avec la version corrigée mesure directement l’apport de la représentation structurale. Cette comparaison sera refaite sur le corpus v3 au chapitre 5 ; les résultats obtenus sur NEG-v1 y sont rapportés séparément et ne sont pas mélangés aux nouveaux.</w:t>
      </w:r>
    </w:p>
    <w:p>
      <w:pPr>
        <w:pStyle w:val="Heading2"/>
      </w:pPr>
      <w:r>
        <w:t>3.7 Construction du corpus final : étiquettes issues des règles et croisement des profils</w:t>
      </w:r>
    </w:p>
    <w:p>
      <w:r>
        <w:t>Cette section décrit la première stratégie de construction des exemples STANDARD (NEG-v1) et le biais qu’elle a introduit, puis la stratégie retenue pour le corpus v3.</w:t>
      </w:r>
    </w:p>
    <w:p>
      <w:pPr>
        <w:pStyle w:val="Heading3"/>
      </w:pPr>
      <w:r>
        <w:t>3.7.1 Motif</w:t>
      </w:r>
    </w:p>
    <w:p>
      <w:r>
        <w:t>Avant augmentation, la classe STANDARD était extrêmement minoritaire : 520 lignes sur 46 117 après filtrage moléculaire, soit 1,13 %. Le corpus contenait surtout des situations déjà sélectionnées parce qu’une relation pharmacogénomique était documentée.</w:t>
      </w:r>
    </w:p>
    <w:p>
      <w:pPr>
        <w:pStyle w:val="Heading3"/>
      </w:pPr>
      <w:r>
        <w:t>3.7.2 Première stratégie : trois négatifs fixes par profil (NEG-v1)</w:t>
      </w:r>
    </w:p>
    <w:p>
      <w:r>
        <w:t>Pour chaque profil, les gènes atypiques ont été identifiés. Les médicaments associés à au moins l’un de ces gènes dans la table des 386 paires documentées ont été exclus du pool négatif. Trois médicaments ont ensuite été tirés parmi les candidats restants avec une graine fixe (42) et étiquetés STANDARD pour compatibilité avec les classes du modèle.</w:t>
      </w:r>
    </w:p>
    <w:p>
      <w:r>
        <w:t>Cette étiquette signifie « aucune action pharmacogénomique documentée dans les sources considérées pour ce profil » ; elle ne signifie ni absence d’interaction biologique ni sécurité universelle à dose standard.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Pr>
          <w:p>
            <w:r>
              <w:rPr>
                <w:b/>
                <w:sz w:val="18"/>
              </w:rPr>
              <w:t>Action</w:t>
            </w:r>
          </w:p>
        </w:tc>
        <w:tc>
          <w:tcPr>
            <w:tcW w:type="dxa" w:w="2436"/>
            <w:shd w:fill="D9EAF7"/>
          </w:tcPr>
          <w:p>
            <w:r>
              <w:rPr>
                <w:b/>
                <w:sz w:val="18"/>
              </w:rPr>
              <w:t>Avant NEG</w:t>
            </w:r>
          </w:p>
        </w:tc>
        <w:tc>
          <w:tcPr>
            <w:tcW w:type="dxa" w:w="2436"/>
            <w:shd w:fill="D9EAF7"/>
          </w:tcPr>
          <w:p>
            <w:r>
              <w:rPr>
                <w:b/>
                <w:sz w:val="18"/>
              </w:rPr>
              <w:t>NEG-v1</w:t>
            </w:r>
          </w:p>
        </w:tc>
        <w:tc>
          <w:tcPr>
            <w:tcW w:type="dxa" w:w="2436"/>
            <w:shd w:fill="D9EAF7"/>
          </w:tcPr>
          <w:p>
            <w:r>
              <w:rPr>
                <w:b/>
                <w:sz w:val="18"/>
              </w:rPr>
              <w:t>Part dans NEG-v1</w:t>
            </w:r>
          </w:p>
        </w:tc>
      </w:tr>
      <w:tr>
        <w:tc>
          <w:tcPr>
            <w:tcW w:type="dxa" w:w="2436"/>
            <w:vAlign w:val="center"/>
          </w:tcPr>
          <w:p>
            <w:r>
              <w:rPr>
                <w:sz w:val="18"/>
              </w:rPr>
              <w:t>ADAPTER_DOSE</w:t>
            </w:r>
          </w:p>
        </w:tc>
        <w:tc>
          <w:tcPr>
            <w:tcW w:type="dxa" w:w="2436"/>
            <w:vAlign w:val="center"/>
          </w:tcPr>
          <w:p>
            <w:r>
              <w:rPr>
                <w:sz w:val="18"/>
              </w:rPr>
              <w:t>23 454</w:t>
            </w:r>
          </w:p>
        </w:tc>
        <w:tc>
          <w:tcPr>
            <w:tcW w:type="dxa" w:w="2436"/>
            <w:vAlign w:val="center"/>
          </w:tcPr>
          <w:p>
            <w:r>
              <w:rPr>
                <w:sz w:val="18"/>
              </w:rPr>
              <w:t>23 454</w:t>
            </w:r>
          </w:p>
        </w:tc>
        <w:tc>
          <w:tcPr>
            <w:tcW w:type="dxa" w:w="2436"/>
            <w:vAlign w:val="center"/>
          </w:tcPr>
          <w:p>
            <w:r>
              <w:rPr>
                <w:sz w:val="18"/>
              </w:rPr>
              <w:t>41,1 %</w:t>
            </w:r>
          </w:p>
        </w:tc>
      </w:tr>
      <w:tr>
        <w:tc>
          <w:tcPr>
            <w:tcW w:type="dxa" w:w="2436"/>
            <w:vAlign w:val="center"/>
          </w:tcPr>
          <w:p>
            <w:r>
              <w:rPr>
                <w:sz w:val="18"/>
              </w:rPr>
              <w:t>EVITER</w:t>
            </w:r>
          </w:p>
        </w:tc>
        <w:tc>
          <w:tcPr>
            <w:tcW w:type="dxa" w:w="2436"/>
            <w:vAlign w:val="center"/>
          </w:tcPr>
          <w:p>
            <w:r>
              <w:rPr>
                <w:sz w:val="18"/>
              </w:rPr>
              <w:t>13 120</w:t>
            </w:r>
          </w:p>
        </w:tc>
        <w:tc>
          <w:tcPr>
            <w:tcW w:type="dxa" w:w="2436"/>
            <w:vAlign w:val="center"/>
          </w:tcPr>
          <w:p>
            <w:r>
              <w:rPr>
                <w:sz w:val="18"/>
              </w:rPr>
              <w:t>13 120</w:t>
            </w:r>
          </w:p>
        </w:tc>
        <w:tc>
          <w:tcPr>
            <w:tcW w:type="dxa" w:w="2436"/>
            <w:vAlign w:val="center"/>
          </w:tcPr>
          <w:p>
            <w:r>
              <w:rPr>
                <w:sz w:val="18"/>
              </w:rPr>
              <w:t>23,0 %</w:t>
            </w:r>
          </w:p>
        </w:tc>
      </w:tr>
      <w:tr>
        <w:tc>
          <w:tcPr>
            <w:tcW w:type="dxa" w:w="2436"/>
            <w:vAlign w:val="center"/>
          </w:tcPr>
          <w:p>
            <w:r>
              <w:rPr>
                <w:sz w:val="18"/>
              </w:rPr>
              <w:t>SURVEILLER</w:t>
            </w:r>
          </w:p>
        </w:tc>
        <w:tc>
          <w:tcPr>
            <w:tcW w:type="dxa" w:w="2436"/>
            <w:vAlign w:val="center"/>
          </w:tcPr>
          <w:p>
            <w:r>
              <w:rPr>
                <w:sz w:val="18"/>
              </w:rPr>
              <w:t>9 023</w:t>
            </w:r>
          </w:p>
        </w:tc>
        <w:tc>
          <w:tcPr>
            <w:tcW w:type="dxa" w:w="2436"/>
            <w:vAlign w:val="center"/>
          </w:tcPr>
          <w:p>
            <w:r>
              <w:rPr>
                <w:sz w:val="18"/>
              </w:rPr>
              <w:t>9 023</w:t>
            </w:r>
          </w:p>
        </w:tc>
        <w:tc>
          <w:tcPr>
            <w:tcW w:type="dxa" w:w="2436"/>
            <w:vAlign w:val="center"/>
          </w:tcPr>
          <w:p>
            <w:r>
              <w:rPr>
                <w:sz w:val="18"/>
              </w:rPr>
              <w:t>15,8 %</w:t>
            </w:r>
          </w:p>
        </w:tc>
      </w:tr>
      <w:tr>
        <w:tc>
          <w:tcPr>
            <w:tcW w:type="dxa" w:w="2436"/>
            <w:vAlign w:val="center"/>
          </w:tcPr>
          <w:p>
            <w:r>
              <w:rPr>
                <w:sz w:val="18"/>
              </w:rPr>
              <w:t>STANDARD</w:t>
            </w:r>
          </w:p>
        </w:tc>
        <w:tc>
          <w:tcPr>
            <w:tcW w:type="dxa" w:w="2436"/>
            <w:vAlign w:val="center"/>
          </w:tcPr>
          <w:p>
            <w:r>
              <w:rPr>
                <w:sz w:val="18"/>
              </w:rPr>
              <w:t>520</w:t>
            </w:r>
          </w:p>
        </w:tc>
        <w:tc>
          <w:tcPr>
            <w:tcW w:type="dxa" w:w="2436"/>
            <w:vAlign w:val="center"/>
          </w:tcPr>
          <w:p>
            <w:r>
              <w:rPr>
                <w:sz w:val="18"/>
              </w:rPr>
              <w:t>11 456</w:t>
            </w:r>
          </w:p>
        </w:tc>
        <w:tc>
          <w:tcPr>
            <w:tcW w:type="dxa" w:w="2436"/>
            <w:vAlign w:val="center"/>
          </w:tcPr>
          <w:p>
            <w:r>
              <w:rPr>
                <w:sz w:val="18"/>
              </w:rPr>
              <w:t>20,1 %</w:t>
            </w:r>
          </w:p>
        </w:tc>
      </w:tr>
    </w:tbl>
    <w:p>
      <w:pPr>
        <w:spacing w:after="20"/>
      </w:pPr>
    </w:p>
    <w:p>
      <w:r>
        <w:t>NEG-v1 contient 57 053 lignes, soit 10 936 lignes ajoutées par rapport au corpus filtré de 46 117 lignes.</w:t>
      </w:r>
    </w:p>
    <w:p>
      <w:pPr>
        <w:pStyle w:val="Heading3"/>
      </w:pPr>
      <w:r>
        <w:t>3.7.3 Diagnostic du décalage de distribution</w:t>
      </w:r>
    </w:p>
    <w:p>
      <w:r>
        <w:t>L’analyse postérieure à l’entraînement a montré que la stratégie « trois négatifs fixes » crée un biais. Parmi les 1 379 individus séquencés rattachés, on observe 40 127 lignes, soit 29,10 médicaments par individu en moyenne, mais seulement 2,98 lignes STANDARD par individu en moyenne, avec une médiane et un maximum égaux à 3.</w:t>
      </w:r>
    </w:p>
    <w:p>
      <w:r>
        <w:t>Le problème est double. Premièrement, l’application interroge un profil sur l’ensemble des 437 médicaments alors que chaque individu réel n’en présente qu’environ 29 dans NEG-v1 : il existe donc un décalage entre la distribution médicamenteuse d’entraînement et l’usage exhaustif du moteur. Deuxièmement, le profil synthétique sur lequel le sur-alertage initial avait été observé ne comportait qu’un seul gène atypique, alors qu’aucun des 1 379 profils réels n’en comporte moins de deux. Ce profil de test est donc lui-même hors du domaine empirique couvert par le corpus.</w:t>
      </w:r>
    </w:p>
    <w:p>
      <w:r>
        <w:t>Un contrôle négatif confirme que le mécanisme STANDARD fonctionne : avec un profil de référence à 31 gènes codés 1,0, le réseau profond version fp prédit STANDARD pour 430 des 437 médicaments (98,4 %), ADAPTER_DOSE pour 5, SURVEILLER pour 2 et EVITER pour 0. Ce contrôle est utilisé ici comme diagnostic du décalage de distribution et non comme mesure de performance du modèle.</w:t>
      </w:r>
    </w:p>
    <w:p>
      <w:pPr>
        <w:pStyle w:val="Heading3"/>
      </w:pPr>
      <w:r>
        <w:t>3.7.4 Portée des métriques obtenues sur NEG-v1</w:t>
      </w:r>
    </w:p>
    <w:p>
      <w:r>
        <w:t>Les validations croisées réalisées sur NEG-v1 restent valides pour la distribution qu’elles évaluent : les plis d’entraînement et de test suivent la même procédure d’échantillonnage et le recouvrement patient est nul. Elles mesurent donc correctement la capacité des modèles à généraliser à de nouveaux groupes issus de cette distribution.</w:t>
      </w:r>
    </w:p>
    <w:p>
      <w:r>
        <w:t>En revanche, elles ne démontrent pas que les probabilités sont calibrées pour une interrogation exhaustive des 437 médicaments ni pour des profils génétiques hors du domaine observé. Cette distinction relève de la validité externe et doit être explicitement rapportée dans les chapitres de résultats et de discussion.</w:t>
      </w:r>
    </w:p>
    <w:p>
      <w:pPr>
        <w:pStyle w:val="Heading3"/>
      </w:pPr>
      <w:r>
        <w:t>3.7.5 Stratégie retenue : croisement des profils réels et des médicaments couverts (corpus v3)</w:t>
      </w:r>
    </w:p>
    <w:p>
      <w:r>
        <w:t>La stratégie négative n’est plus nécessaire. La classe STANDARD n’est plus tirée au hasard parmi des médicaments non associés au profil : elle est produite par les règles elles-mêmes, qui décrivent explicitement des phénotypes pour lesquels aucune modification n’est recommandée (par exemple le métaboliseur normal). Le corpus v3 est construit par deux scripts, construire_corpus_v3.py et croiser_profils_medicaments_v3.py, selon les règles suivantes :</w:t>
      </w:r>
    </w:p>
    <w:p>
      <w:pPr>
        <w:pStyle w:val="ListBullet"/>
      </w:pPr>
      <w:r>
        <w:t>Une règle mono-gène est utilisable si elle n’est ni ambiguë, ni conditionnelle (hors les quatorze règles acceptées après relecture), ni de codage à valider, ni en conflit interne. Une règle à deux gènes est utilisable si elle n’est ni ambiguë ni conditionnelle et ne porte pas sur HLA-B, G6PD ou MT-RNR1. 78 médicaments disposent d’au moins une règle utilisable ; 76 d’entre eux apparaissent avec au moins une ligne étiquetée.</w:t>
      </w:r>
    </w:p>
    <w:p>
      <w:pPr>
        <w:pStyle w:val="ListBullet"/>
      </w:pPr>
      <w:r>
        <w:t>Pour un couple profil–médicament, chaque gène pour lequel une règle utilisable existe fournit une action ; une règle à deux gènes applicable remplace les règles mono-gène de ses deux gènes ; l’action retenue est la plus sévère (EVITER &gt; ADAPTER_DOSE &gt; SURVEILLER &gt; STANDARD).</w:t>
      </w:r>
    </w:p>
    <w:p>
      <w:pPr>
        <w:pStyle w:val="ListBullet"/>
      </w:pPr>
      <w:r>
        <w:t>Lorsqu’un gène du médicament prend une valeur absente des règles (par exemple CYP2D6 = 1,5 pour la codéine, ou le phénotype normal pour la warfarine, que la ligne directrice ne décrit pas), le couple est écarté, sauf si un autre gène impose déjà EVITER. Aucune action n’est inventée.</w:t>
      </w:r>
    </w:p>
    <w:p>
      <w:pPr>
        <w:pStyle w:val="ListBullet"/>
      </w:pPr>
      <w:r>
        <w:t>Chacun des 1 379 profils réels de 1000 Genomes est associé à chacun des 120 médicaments du corpus possédant au moins une règle ; seuls les couples étiquetés par une règle utilisable sont conservés. Les lignes documentaires ne sont pas croisées, car elles ne représentent pas des individus.</w:t>
      </w:r>
    </w:p>
    <w:p>
      <w:r>
        <w:t>Le croisement porte sur 165 480 couples (1 379 profils × 120 médicaments) : 76 028 (45,9 %) sont étiquetés, 31 534 (19,1 %) sont écartés parce que la ligne directrice ne couvre pas la valeur du gène, et 57 918 (35,0 %) concernent des médicaments sans règle utilisable.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Pr>
          <w:p>
            <w:r>
              <w:rPr>
                <w:b/>
                <w:sz w:val="18"/>
              </w:rPr>
              <w:t>Action</w:t>
            </w:r>
          </w:p>
        </w:tc>
        <w:tc>
          <w:tcPr>
            <w:tcW w:type="dxa" w:w="2436"/>
            <w:shd w:fill="D9EAF7"/>
          </w:tcPr>
          <w:p>
            <w:r>
              <w:rPr>
                <w:b/>
                <w:sz w:val="18"/>
              </w:rPr>
              <w:t>Corpus v3 (lignes d’origine)</w:t>
            </w:r>
          </w:p>
        </w:tc>
        <w:tc>
          <w:tcPr>
            <w:tcW w:type="dxa" w:w="2436"/>
            <w:shd w:fill="D9EAF7"/>
          </w:tcPr>
          <w:p>
            <w:r>
              <w:rPr>
                <w:b/>
                <w:sz w:val="18"/>
              </w:rPr>
              <w:t>Corpus v3 croisé</w:t>
            </w:r>
          </w:p>
        </w:tc>
        <w:tc>
          <w:tcPr>
            <w:tcW w:type="dxa" w:w="2436"/>
            <w:shd w:fill="D9EAF7"/>
          </w:tcPr>
          <w:p>
            <w:r>
              <w:rPr>
                <w:b/>
                <w:sz w:val="18"/>
              </w:rPr>
              <w:t>Part dans le corpus croisé</w:t>
            </w:r>
          </w:p>
        </w:tc>
      </w:tr>
      <w:tr>
        <w:tc>
          <w:tcPr>
            <w:tcW w:type="dxa" w:w="2436"/>
            <w:vAlign w:val="center"/>
          </w:tcPr>
          <w:p>
            <w:r>
              <w:rPr>
                <w:sz w:val="18"/>
              </w:rPr>
              <w:t>ADAPTER_DOSE</w:t>
            </w:r>
          </w:p>
        </w:tc>
        <w:tc>
          <w:tcPr>
            <w:tcW w:type="dxa" w:w="2436"/>
            <w:vAlign w:val="center"/>
          </w:tcPr>
          <w:p>
            <w:r>
              <w:rPr>
                <w:sz w:val="18"/>
              </w:rPr>
              <w:t>7 120</w:t>
            </w:r>
          </w:p>
        </w:tc>
        <w:tc>
          <w:tcPr>
            <w:tcW w:type="dxa" w:w="2436"/>
            <w:vAlign w:val="center"/>
          </w:tcPr>
          <w:p>
            <w:r>
              <w:rPr>
                <w:sz w:val="18"/>
              </w:rPr>
              <w:t>10 059</w:t>
            </w:r>
          </w:p>
        </w:tc>
        <w:tc>
          <w:tcPr>
            <w:tcW w:type="dxa" w:w="2436"/>
            <w:vAlign w:val="center"/>
          </w:tcPr>
          <w:p>
            <w:r>
              <w:rPr>
                <w:sz w:val="18"/>
              </w:rPr>
              <w:t>13,2 %</w:t>
            </w:r>
          </w:p>
        </w:tc>
      </w:tr>
      <w:tr>
        <w:tc>
          <w:tcPr>
            <w:tcW w:type="dxa" w:w="2436"/>
            <w:vAlign w:val="center"/>
          </w:tcPr>
          <w:p>
            <w:r>
              <w:rPr>
                <w:sz w:val="18"/>
              </w:rPr>
              <w:t>EVITER</w:t>
            </w:r>
          </w:p>
        </w:tc>
        <w:tc>
          <w:tcPr>
            <w:tcW w:type="dxa" w:w="2436"/>
            <w:vAlign w:val="center"/>
          </w:tcPr>
          <w:p>
            <w:r>
              <w:rPr>
                <w:sz w:val="18"/>
              </w:rPr>
              <w:t>3 454</w:t>
            </w:r>
          </w:p>
        </w:tc>
        <w:tc>
          <w:tcPr>
            <w:tcW w:type="dxa" w:w="2436"/>
            <w:vAlign w:val="center"/>
          </w:tcPr>
          <w:p>
            <w:r>
              <w:rPr>
                <w:sz w:val="18"/>
              </w:rPr>
              <w:t>5 634</w:t>
            </w:r>
          </w:p>
        </w:tc>
        <w:tc>
          <w:tcPr>
            <w:tcW w:type="dxa" w:w="2436"/>
            <w:vAlign w:val="center"/>
          </w:tcPr>
          <w:p>
            <w:r>
              <w:rPr>
                <w:sz w:val="18"/>
              </w:rPr>
              <w:t>7,4 %</w:t>
            </w:r>
          </w:p>
        </w:tc>
      </w:tr>
      <w:tr>
        <w:tc>
          <w:tcPr>
            <w:tcW w:type="dxa" w:w="2436"/>
            <w:vAlign w:val="center"/>
          </w:tcPr>
          <w:p>
            <w:r>
              <w:rPr>
                <w:sz w:val="18"/>
              </w:rPr>
              <w:t>SURVEILLER</w:t>
            </w:r>
          </w:p>
        </w:tc>
        <w:tc>
          <w:tcPr>
            <w:tcW w:type="dxa" w:w="2436"/>
            <w:vAlign w:val="center"/>
          </w:tcPr>
          <w:p>
            <w:r>
              <w:rPr>
                <w:sz w:val="18"/>
              </w:rPr>
              <w:t>1</w:t>
            </w:r>
          </w:p>
        </w:tc>
        <w:tc>
          <w:tcPr>
            <w:tcW w:type="dxa" w:w="2436"/>
            <w:vAlign w:val="center"/>
          </w:tcPr>
          <w:p>
            <w:r>
              <w:rPr>
                <w:sz w:val="18"/>
              </w:rPr>
              <w:t>629</w:t>
            </w:r>
          </w:p>
        </w:tc>
        <w:tc>
          <w:tcPr>
            <w:tcW w:type="dxa" w:w="2436"/>
            <w:vAlign w:val="center"/>
          </w:tcPr>
          <w:p>
            <w:r>
              <w:rPr>
                <w:sz w:val="18"/>
              </w:rPr>
              <w:t>0,8 %</w:t>
            </w:r>
          </w:p>
        </w:tc>
      </w:tr>
      <w:tr>
        <w:tc>
          <w:tcPr>
            <w:tcW w:type="dxa" w:w="2436"/>
            <w:vAlign w:val="center"/>
          </w:tcPr>
          <w:p>
            <w:r>
              <w:rPr>
                <w:sz w:val="18"/>
              </w:rPr>
              <w:t>STANDARD</w:t>
            </w:r>
          </w:p>
        </w:tc>
        <w:tc>
          <w:tcPr>
            <w:tcW w:type="dxa" w:w="2436"/>
            <w:vAlign w:val="center"/>
          </w:tcPr>
          <w:p>
            <w:r>
              <w:rPr>
                <w:sz w:val="18"/>
              </w:rPr>
              <w:t>13 092</w:t>
            </w:r>
          </w:p>
        </w:tc>
        <w:tc>
          <w:tcPr>
            <w:tcW w:type="dxa" w:w="2436"/>
            <w:vAlign w:val="center"/>
          </w:tcPr>
          <w:p>
            <w:r>
              <w:rPr>
                <w:sz w:val="18"/>
              </w:rPr>
              <w:t>59 706</w:t>
            </w:r>
          </w:p>
        </w:tc>
        <w:tc>
          <w:tcPr>
            <w:tcW w:type="dxa" w:w="2436"/>
            <w:vAlign w:val="center"/>
          </w:tcPr>
          <w:p>
            <w:r>
              <w:rPr>
                <w:sz w:val="18"/>
              </w:rPr>
              <w:t>78,5 %</w:t>
            </w:r>
          </w:p>
        </w:tc>
      </w:tr>
      <w:tr>
        <w:tc>
          <w:tcPr>
            <w:tcW w:type="dxa" w:w="2436"/>
            <w:vAlign w:val="center"/>
          </w:tcPr>
          <w:p>
            <w:r>
              <w:rPr>
                <w:sz w:val="18"/>
              </w:rPr>
              <w:t>Total</w:t>
            </w:r>
          </w:p>
        </w:tc>
        <w:tc>
          <w:tcPr>
            <w:tcW w:type="dxa" w:w="2436"/>
            <w:vAlign w:val="center"/>
          </w:tcPr>
          <w:p>
            <w:r>
              <w:rPr>
                <w:sz w:val="18"/>
              </w:rPr>
              <w:t>23 667</w:t>
            </w:r>
          </w:p>
        </w:tc>
        <w:tc>
          <w:tcPr>
            <w:tcW w:type="dxa" w:w="2436"/>
            <w:vAlign w:val="center"/>
          </w:tcPr>
          <w:p>
            <w:r>
              <w:rPr>
                <w:sz w:val="18"/>
              </w:rPr>
              <w:t>76 028</w:t>
            </w:r>
          </w:p>
        </w:tc>
        <w:tc>
          <w:tcPr>
            <w:tcW w:type="dxa" w:w="2436"/>
            <w:vAlign w:val="center"/>
          </w:tcPr>
          <w:p>
            <w:r>
              <w:rPr>
                <w:sz w:val="18"/>
              </w:rPr>
              <w:t>100 %</w:t>
            </w:r>
          </w:p>
        </w:tc>
      </w:tr>
    </w:tbl>
    <w:p/>
    <w:p>
      <w:r>
        <w:t>Dans le corpus croisé, chaque individu apparaît avec tous les médicaments couverts (en moyenne 55,1 lignes par individu) et le phénotype normal du gène concerné y est représenté : pour la codéine, 748 lignes avec CYP2D6 = 1,0 contre une seule dans les lignes d’origine re-étiquetées. Ce corpus répond directement au décalage décrit au § 3.7.3. La confiance de l’étiquette est consignée par ligne (haute si aucune autre source ne contredit la règle, moyenne sinon) : 67 716 lignes de confiance haute et 8 312 de confiance moyenne.</w:t>
      </w:r>
    </w:p>
    <w:p>
      <w:r>
        <w:t>Cette construction a un coût qu’il faut énoncer. Le corpus ne couvre que 76 médicaments sur 530, et 32 d’entre eux n’ont qu’une seule classe d’action : ils n’apportent aucun contraste. Les étiquettes étant calculées de façon déterministe à partir des règles, les métriques obtenues mesureront la fidélité des modèles aux lignes directrices et non un résultat clinique. Pour les médicaments sans règle, la sortie du modèle devra être présentée comme une prédiction exploratoire.</w:t>
      </w:r>
    </w:p>
    <w:p>
      <w:pPr>
        <w:pStyle w:val="Heading3"/>
      </w:pPr>
      <w:r>
        <w:t>3.7.6 Alternative examinée et non retenue : négatifs proportionnels au nombre d’associations</w:t>
      </w:r>
    </w:p>
    <w:p>
      <w:r>
        <w:t>Avant d’adopter le croisement, le plafond fixe de trois négatifs avait été remplacé, en simulation, par une règle proportionnelle au nombre d’associations documentées du profil :</w:t>
      </w:r>
    </w:p>
    <w:p>
      <w:pPr>
        <w:jc w:val="center"/>
      </w:pPr>
      <w:r>
        <w:rPr>
          <w:b/>
        </w:rPr>
        <w:t>n_neg(profil) = min(round(α × n_positifs(profil)), n_candidats(profil))</w:t>
      </w:r>
    </w:p>
    <w:p>
      <w:r>
        <w:t>Le paramètre α est déclaré explicitement. Cette forme vise à rendre la proportion empirique de lignes négatives d’un profil indépendante de son nombre d’associations documentées : hors contrainte sur les candidats et hors arrondi, cette proportion vaut α/(1+α). Elle supprime ainsi le mécanisme même du biais introduit par un plafond fixe.</w:t>
      </w:r>
    </w:p>
    <w:p>
      <w:r>
        <w:t>L’ampleur du biais corrigé a été mesurée avant tout apprentissage. La quantité pertinente est la proportion empirique de lignes STANDARD au sein de chaque profil, notée ici P̂(STANDARD | profil), et sa dispersion entre les 3 665 profils génétiques distincts. Le nombre d’associations documentées par profil varie de 1 à 437, avec une médiane de 6 et une moyenne de 12,6 : un plafond fixe de trois négatifs produit donc des proportions négatives très inégales d’un profil à l’autre.</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fill="D9EAF7"/>
          </w:tcPr>
          <w:p>
            <w:r>
              <w:rPr>
                <w:b/>
                <w:sz w:val="18"/>
              </w:rPr>
              <w:t>Règle</w:t>
            </w:r>
          </w:p>
        </w:tc>
        <w:tc>
          <w:tcPr>
            <w:tcW w:type="dxa" w:w="1624"/>
            <w:shd w:fill="D9EAF7"/>
          </w:tcPr>
          <w:p>
            <w:r>
              <w:rPr>
                <w:b/>
                <w:sz w:val="18"/>
              </w:rPr>
              <w:t>Négatifs</w:t>
            </w:r>
          </w:p>
        </w:tc>
        <w:tc>
          <w:tcPr>
            <w:tcW w:type="dxa" w:w="1624"/>
            <w:shd w:fill="D9EAF7"/>
          </w:tcPr>
          <w:p>
            <w:r>
              <w:rPr>
                <w:b/>
                <w:sz w:val="18"/>
              </w:rPr>
              <w:t>Taille du corpus</w:t>
            </w:r>
          </w:p>
        </w:tc>
        <w:tc>
          <w:tcPr>
            <w:tcW w:type="dxa" w:w="1624"/>
            <w:shd w:fill="D9EAF7"/>
          </w:tcPr>
          <w:p>
            <w:r>
              <w:rPr>
                <w:b/>
                <w:sz w:val="18"/>
              </w:rPr>
              <w:t>STANDARD global</w:t>
            </w:r>
          </w:p>
        </w:tc>
        <w:tc>
          <w:tcPr>
            <w:tcW w:type="dxa" w:w="1624"/>
            <w:shd w:fill="D9EAF7"/>
          </w:tcPr>
          <w:p>
            <w:r>
              <w:rPr>
                <w:b/>
                <w:sz w:val="18"/>
              </w:rPr>
              <w:t>Dispersion σ</w:t>
            </w:r>
          </w:p>
        </w:tc>
        <w:tc>
          <w:tcPr>
            <w:tcW w:type="dxa" w:w="1624"/>
            <w:shd w:fill="D9EAF7"/>
          </w:tcPr>
          <w:p>
            <w:r>
              <w:rPr>
                <w:b/>
                <w:sz w:val="18"/>
              </w:rPr>
              <w:t>Étendue</w:t>
            </w:r>
          </w:p>
        </w:tc>
      </w:tr>
      <w:tr>
        <w:tc>
          <w:tcPr>
            <w:tcW w:type="dxa" w:w="1624"/>
            <w:vAlign w:val="center"/>
          </w:tcPr>
          <w:p>
            <w:r>
              <w:rPr>
                <w:sz w:val="18"/>
              </w:rPr>
              <w:t>Plafond fixe n = 3 (NEG-v1)</w:t>
            </w:r>
          </w:p>
        </w:tc>
        <w:tc>
          <w:tcPr>
            <w:tcW w:type="dxa" w:w="1624"/>
            <w:vAlign w:val="center"/>
          </w:tcPr>
          <w:p>
            <w:r>
              <w:rPr>
                <w:sz w:val="18"/>
              </w:rPr>
              <w:t>10 936</w:t>
            </w:r>
          </w:p>
        </w:tc>
        <w:tc>
          <w:tcPr>
            <w:tcW w:type="dxa" w:w="1624"/>
            <w:vAlign w:val="center"/>
          </w:tcPr>
          <w:p>
            <w:r>
              <w:rPr>
                <w:sz w:val="18"/>
              </w:rPr>
              <w:t>57 053</w:t>
            </w:r>
          </w:p>
        </w:tc>
        <w:tc>
          <w:tcPr>
            <w:tcW w:type="dxa" w:w="1624"/>
            <w:vAlign w:val="center"/>
          </w:tcPr>
          <w:p>
            <w:r>
              <w:rPr>
                <w:sz w:val="18"/>
              </w:rPr>
              <w:t>20,1 %</w:t>
            </w:r>
          </w:p>
        </w:tc>
        <w:tc>
          <w:tcPr>
            <w:tcW w:type="dxa" w:w="1624"/>
            <w:vAlign w:val="center"/>
          </w:tcPr>
          <w:p>
            <w:r>
              <w:rPr>
                <w:sz w:val="18"/>
              </w:rPr>
              <w:t>21,08 pts</w:t>
            </w:r>
          </w:p>
        </w:tc>
        <w:tc>
          <w:tcPr>
            <w:tcW w:type="dxa" w:w="1624"/>
            <w:vAlign w:val="center"/>
          </w:tcPr>
          <w:p>
            <w:r>
              <w:rPr>
                <w:sz w:val="18"/>
              </w:rPr>
              <w:t>74,3 pts</w:t>
            </w:r>
          </w:p>
        </w:tc>
      </w:tr>
      <w:tr>
        <w:tc>
          <w:tcPr>
            <w:tcW w:type="dxa" w:w="1624"/>
            <w:vAlign w:val="center"/>
          </w:tcPr>
          <w:p>
            <w:r>
              <w:rPr>
                <w:sz w:val="18"/>
              </w:rPr>
              <w:t>α = 0,25</w:t>
            </w:r>
          </w:p>
        </w:tc>
        <w:tc>
          <w:tcPr>
            <w:tcW w:type="dxa" w:w="1624"/>
            <w:vAlign w:val="center"/>
          </w:tcPr>
          <w:p>
            <w:r>
              <w:rPr>
                <w:sz w:val="18"/>
              </w:rPr>
              <w:t>11 654</w:t>
            </w:r>
          </w:p>
        </w:tc>
        <w:tc>
          <w:tcPr>
            <w:tcW w:type="dxa" w:w="1624"/>
            <w:vAlign w:val="center"/>
          </w:tcPr>
          <w:p>
            <w:r>
              <w:rPr>
                <w:sz w:val="18"/>
              </w:rPr>
              <w:t>57 771</w:t>
            </w:r>
          </w:p>
        </w:tc>
        <w:tc>
          <w:tcPr>
            <w:tcW w:type="dxa" w:w="1624"/>
            <w:vAlign w:val="center"/>
          </w:tcPr>
          <w:p>
            <w:r>
              <w:rPr>
                <w:sz w:val="18"/>
              </w:rPr>
              <w:t>21,1 %</w:t>
            </w:r>
          </w:p>
        </w:tc>
        <w:tc>
          <w:tcPr>
            <w:tcW w:type="dxa" w:w="1624"/>
            <w:vAlign w:val="center"/>
          </w:tcPr>
          <w:p>
            <w:r>
              <w:rPr>
                <w:sz w:val="18"/>
              </w:rPr>
              <w:t>7,53 pts</w:t>
            </w:r>
          </w:p>
        </w:tc>
        <w:tc>
          <w:tcPr>
            <w:tcW w:type="dxa" w:w="1624"/>
            <w:vAlign w:val="center"/>
          </w:tcPr>
          <w:p>
            <w:r>
              <w:rPr>
                <w:sz w:val="18"/>
              </w:rPr>
              <w:t>25,0 pts</w:t>
            </w:r>
          </w:p>
        </w:tc>
      </w:tr>
      <w:tr>
        <w:tc>
          <w:tcPr>
            <w:tcW w:type="dxa" w:w="1624"/>
            <w:vAlign w:val="center"/>
          </w:tcPr>
          <w:p>
            <w:r>
              <w:rPr>
                <w:sz w:val="18"/>
              </w:rPr>
              <w:t>α = 1/3</w:t>
            </w:r>
          </w:p>
        </w:tc>
        <w:tc>
          <w:tcPr>
            <w:tcW w:type="dxa" w:w="1624"/>
            <w:vAlign w:val="center"/>
          </w:tcPr>
          <w:p>
            <w:r>
              <w:rPr>
                <w:sz w:val="18"/>
              </w:rPr>
              <w:t>15 058</w:t>
            </w:r>
          </w:p>
        </w:tc>
        <w:tc>
          <w:tcPr>
            <w:tcW w:type="dxa" w:w="1624"/>
            <w:vAlign w:val="center"/>
          </w:tcPr>
          <w:p>
            <w:r>
              <w:rPr>
                <w:sz w:val="18"/>
              </w:rPr>
              <w:t>61 175</w:t>
            </w:r>
          </w:p>
        </w:tc>
        <w:tc>
          <w:tcPr>
            <w:tcW w:type="dxa" w:w="1624"/>
            <w:vAlign w:val="center"/>
          </w:tcPr>
          <w:p>
            <w:r>
              <w:rPr>
                <w:sz w:val="18"/>
              </w:rPr>
              <w:t>25,5 %</w:t>
            </w:r>
          </w:p>
        </w:tc>
        <w:tc>
          <w:tcPr>
            <w:tcW w:type="dxa" w:w="1624"/>
            <w:vAlign w:val="center"/>
          </w:tcPr>
          <w:p>
            <w:r>
              <w:rPr>
                <w:sz w:val="18"/>
              </w:rPr>
              <w:t>7,87 pts</w:t>
            </w:r>
          </w:p>
        </w:tc>
        <w:tc>
          <w:tcPr>
            <w:tcW w:type="dxa" w:w="1624"/>
            <w:vAlign w:val="center"/>
          </w:tcPr>
          <w:p>
            <w:r>
              <w:rPr>
                <w:sz w:val="18"/>
              </w:rPr>
              <w:t>33,3 pts</w:t>
            </w:r>
          </w:p>
        </w:tc>
      </w:tr>
      <w:tr>
        <w:tc>
          <w:tcPr>
            <w:tcW w:type="dxa" w:w="1624"/>
            <w:vAlign w:val="center"/>
          </w:tcPr>
          <w:p>
            <w:r>
              <w:rPr>
                <w:sz w:val="18"/>
              </w:rPr>
              <w:t>α = 0,50</w:t>
            </w:r>
          </w:p>
        </w:tc>
        <w:tc>
          <w:tcPr>
            <w:tcW w:type="dxa" w:w="1624"/>
            <w:vAlign w:val="center"/>
          </w:tcPr>
          <w:p>
            <w:r>
              <w:rPr>
                <w:sz w:val="18"/>
              </w:rPr>
              <w:t>23 117</w:t>
            </w:r>
          </w:p>
        </w:tc>
        <w:tc>
          <w:tcPr>
            <w:tcW w:type="dxa" w:w="1624"/>
            <w:vAlign w:val="center"/>
          </w:tcPr>
          <w:p>
            <w:r>
              <w:rPr>
                <w:sz w:val="18"/>
              </w:rPr>
              <w:t>69 234</w:t>
            </w:r>
          </w:p>
        </w:tc>
        <w:tc>
          <w:tcPr>
            <w:tcW w:type="dxa" w:w="1624"/>
            <w:vAlign w:val="center"/>
          </w:tcPr>
          <w:p>
            <w:r>
              <w:rPr>
                <w:sz w:val="18"/>
              </w:rPr>
              <w:t>34,1 %</w:t>
            </w:r>
          </w:p>
        </w:tc>
        <w:tc>
          <w:tcPr>
            <w:tcW w:type="dxa" w:w="1624"/>
            <w:vAlign w:val="center"/>
          </w:tcPr>
          <w:p>
            <w:r>
              <w:rPr>
                <w:sz w:val="18"/>
              </w:rPr>
              <w:t>10,70 pts</w:t>
            </w:r>
          </w:p>
        </w:tc>
        <w:tc>
          <w:tcPr>
            <w:tcW w:type="dxa" w:w="1624"/>
            <w:vAlign w:val="center"/>
          </w:tcPr>
          <w:p>
            <w:r>
              <w:rPr>
                <w:sz w:val="18"/>
              </w:rPr>
              <w:t>40,0 pts</w:t>
            </w:r>
          </w:p>
        </w:tc>
      </w:tr>
      <w:tr>
        <w:tc>
          <w:tcPr>
            <w:tcW w:type="dxa" w:w="1624"/>
            <w:vAlign w:val="center"/>
          </w:tcPr>
          <w:p>
            <w:r>
              <w:rPr>
                <w:sz w:val="18"/>
              </w:rPr>
              <w:t>α = 1</w:t>
            </w:r>
          </w:p>
        </w:tc>
        <w:tc>
          <w:tcPr>
            <w:tcW w:type="dxa" w:w="1624"/>
            <w:vAlign w:val="center"/>
          </w:tcPr>
          <w:p>
            <w:r>
              <w:rPr>
                <w:sz w:val="18"/>
              </w:rPr>
              <w:t>46 117</w:t>
            </w:r>
          </w:p>
        </w:tc>
        <w:tc>
          <w:tcPr>
            <w:tcW w:type="dxa" w:w="1624"/>
            <w:vAlign w:val="center"/>
          </w:tcPr>
          <w:p>
            <w:r>
              <w:rPr>
                <w:sz w:val="18"/>
              </w:rPr>
              <w:t>92 234</w:t>
            </w:r>
          </w:p>
        </w:tc>
        <w:tc>
          <w:tcPr>
            <w:tcW w:type="dxa" w:w="1624"/>
            <w:vAlign w:val="center"/>
          </w:tcPr>
          <w:p>
            <w:r>
              <w:rPr>
                <w:sz w:val="18"/>
              </w:rPr>
              <w:t>50,6 %</w:t>
            </w:r>
          </w:p>
        </w:tc>
        <w:tc>
          <w:tcPr>
            <w:tcW w:type="dxa" w:w="1624"/>
            <w:vAlign w:val="center"/>
          </w:tcPr>
          <w:p>
            <w:r>
              <w:rPr>
                <w:sz w:val="18"/>
              </w:rPr>
              <w:t>0,00 pt</w:t>
            </w:r>
          </w:p>
        </w:tc>
        <w:tc>
          <w:tcPr>
            <w:tcW w:type="dxa" w:w="1624"/>
            <w:vAlign w:val="center"/>
          </w:tcPr>
          <w:p>
            <w:r>
              <w:rPr>
                <w:sz w:val="18"/>
              </w:rPr>
              <w:t>0,0 pt</w:t>
            </w:r>
          </w:p>
        </w:tc>
      </w:tr>
    </w:tbl>
    <w:p>
      <w:pPr>
        <w:spacing w:after="20"/>
      </w:pPr>
    </w:p>
    <w:p>
      <w:r>
        <w:t>Les variantes de α sont simulées sur les mêmes profils, la même table de 386 associations documentées et la même graine (42), avant dédoublonnage ; la ligne NEG-v1 rapporte le corpus effectif, dont le dédoublonnage retire une soixantaine de lignes. L’écart-type et l’étendue portent sur P̂(STANDARD | profil) mesuré sur les 3 665 profils.</w:t>
      </w:r>
    </w:p>
    <w:p>
      <w:r>
        <w:t>Premier point : le plafond fixe conduit à un écart-type de 21,08 points et à une étendue de 74,3 points, la part de STANDARD d’un profil allant de 0,7 % à 75,0 % en fonction de son seul nombre d’associations documentées. C’est la mesure directe du biais diagnostiqué au § 3.7.3.</w:t>
      </w:r>
    </w:p>
    <w:p>
      <w:r>
        <w:t>Ce même tableau montre que la règle proportionnelle ramène cet écart-type à 7,53 points pour α = 0,25, soit une réduction d’un facteur 2,8, et à zéro pour α = 1 en l’absence de contrainte et d’arrondi. Toutefois, α = 1 porterait le corpus de 57 053 à 92 234 lignes et la classe STANDARD à 50,6 %, soit davantage que les trois classes cliniques réunies. Ce choix modifierait profondément la distribution du corpus, augmenterait fortement le coût d’apprentissage et réduirait la comparabilité avec NEG-v1 ; il n’est donc pas retenu comme configuration principale.</w:t>
      </w:r>
    </w:p>
    <w:p>
      <w:r>
        <w:t>Deuxième point : α = 0,25 reproduit presque exactement la distribution globale de NEG-v1 — 21,1 % de STANDARD contre 20,1 %, pour 57 771 lignes contre 57 053 — tout en divisant la dispersion par 2,8. Cette valeur ne modifie que ce qui doit l’être et préserve donc la comparabilité avec les résultats déjà obtenus, ce qui en faisait le candidat de référence.</w:t>
      </w:r>
    </w:p>
    <w:p>
      <w:r>
        <w:t>Troisième point : la dispersion résiduelle aux faibles valeurs de α provient de l’arrondi. Avec α = 0,25, les 489 profils comptant une ou deux associations documentées reçoivent zéro négatif. Imposer un plancher d’un négatif par profil supprime ces cas mais dégrade l’écart-type de 7,53 à 9,16 points, puisqu’un profil à une seule association se retrouve alors à 50 % de STANDARD. Ce compromis entre couverture des profils et homogénéité de la part négative doit être tranché explicitement, et non laissé à une valeur par défaut.</w:t>
      </w:r>
    </w:p>
    <w:p>
      <w:r>
        <w:t>Cette alternative n’est pas retenue : la construction du corpus v3 supprime le tirage de négatifs et rend donc le choix de α sans objet. Elle est conservée ici parce qu’elle documente l’ampleur du biais corrigé : la dispersion de P̂(STANDARD | profil) est ramenée de 21,08 à 7,53 points pour α = 0,25 sans apprentissage, ce qui caractérise la construction du corpus et ne préjuge pas de l’effet de α sur les performances.</w:t>
      </w:r>
    </w:p>
    <w:p>
      <w:pPr>
        <w:pStyle w:val="Heading2"/>
      </w:pPr>
      <w:r>
        <w:t>3.8 Analyse de déterminisme et justification expérimentale du multi-gène</w:t>
      </w:r>
    </w:p>
    <w:p>
      <w:r>
        <w:t>L’analyse de déterminisme cherche à savoir si, pour un médicament donné, un gène unique suffit à reproduire les actions observées dans le corpus. Afin de séparer l’effet de la couverture moléculaire de celui de l’augmentation négative, trois niveaux sont comparés.</w:t>
      </w:r>
    </w:p>
    <w:p>
      <w:r>
        <w:t>Le critère appliqué est opérationnel. Un médicament est dit déterminé par un gène unique s’il existe au moins un gène tel que chaque valeur observée de ce gène corresponde à une action et une seule dans le corpus. Un médicament dont toutes les lignes portent la même action est comptabilisé séparément sous « action constante ». Le critère porte donc sur la cohérence fonctionnelle observable dans les données, et non sur une causalité biologique.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Pr>
          <w:p>
            <w:r>
              <w:rPr>
                <w:b/>
                <w:sz w:val="18"/>
              </w:rPr>
              <w:t>Catégorie</w:t>
            </w:r>
          </w:p>
        </w:tc>
        <w:tc>
          <w:tcPr>
            <w:tcW w:type="dxa" w:w="2436"/>
            <w:shd w:fill="D9EAF7"/>
          </w:tcPr>
          <w:p>
            <w:r>
              <w:rPr>
                <w:b/>
                <w:sz w:val="18"/>
              </w:rPr>
              <w:t>Documentaire 530 médicaments</w:t>
            </w:r>
          </w:p>
        </w:tc>
        <w:tc>
          <w:tcPr>
            <w:tcW w:type="dxa" w:w="2436"/>
            <w:shd w:fill="D9EAF7"/>
          </w:tcPr>
          <w:p>
            <w:r>
              <w:rPr>
                <w:b/>
                <w:sz w:val="18"/>
              </w:rPr>
              <w:t>Documentaire 437 médicaments</w:t>
            </w:r>
          </w:p>
        </w:tc>
        <w:tc>
          <w:tcPr>
            <w:tcW w:type="dxa" w:w="2436"/>
            <w:shd w:fill="D9EAF7"/>
          </w:tcPr>
          <w:p>
            <w:r>
              <w:rPr>
                <w:b/>
                <w:sz w:val="18"/>
              </w:rPr>
              <w:t>NEG-v1 437 médicaments</w:t>
            </w:r>
          </w:p>
        </w:tc>
      </w:tr>
      <w:tr>
        <w:tc>
          <w:tcPr>
            <w:tcW w:type="dxa" w:w="2436"/>
            <w:vAlign w:val="center"/>
          </w:tcPr>
          <w:p>
            <w:r>
              <w:rPr>
                <w:sz w:val="18"/>
              </w:rPr>
              <w:t>Action constante</w:t>
            </w:r>
          </w:p>
        </w:tc>
        <w:tc>
          <w:tcPr>
            <w:tcW w:type="dxa" w:w="2436"/>
            <w:vAlign w:val="center"/>
          </w:tcPr>
          <w:p>
            <w:r>
              <w:rPr>
                <w:sz w:val="18"/>
              </w:rPr>
              <w:t>87 (16,4 %)</w:t>
            </w:r>
          </w:p>
        </w:tc>
        <w:tc>
          <w:tcPr>
            <w:tcW w:type="dxa" w:w="2436"/>
            <w:vAlign w:val="center"/>
          </w:tcPr>
          <w:p>
            <w:r>
              <w:rPr>
                <w:sz w:val="18"/>
              </w:rPr>
              <w:t>67 (15,3 %)</w:t>
            </w:r>
          </w:p>
        </w:tc>
        <w:tc>
          <w:tcPr>
            <w:tcW w:type="dxa" w:w="2436"/>
            <w:vAlign w:val="center"/>
          </w:tcPr>
          <w:p>
            <w:r>
              <w:rPr>
                <w:sz w:val="18"/>
              </w:rPr>
              <w:t>54 (12,4 %)</w:t>
            </w:r>
          </w:p>
        </w:tc>
      </w:tr>
      <w:tr>
        <w:tc>
          <w:tcPr>
            <w:tcW w:type="dxa" w:w="2436"/>
            <w:vAlign w:val="center"/>
          </w:tcPr>
          <w:p>
            <w:r>
              <w:rPr>
                <w:sz w:val="18"/>
              </w:rPr>
              <w:t>Déterminé par un seul gène</w:t>
            </w:r>
          </w:p>
        </w:tc>
        <w:tc>
          <w:tcPr>
            <w:tcW w:type="dxa" w:w="2436"/>
            <w:vAlign w:val="center"/>
          </w:tcPr>
          <w:p>
            <w:r>
              <w:rPr>
                <w:sz w:val="18"/>
              </w:rPr>
              <w:t>257 (48,5 %)</w:t>
            </w:r>
          </w:p>
        </w:tc>
        <w:tc>
          <w:tcPr>
            <w:tcW w:type="dxa" w:w="2436"/>
            <w:vAlign w:val="center"/>
          </w:tcPr>
          <w:p>
            <w:r>
              <w:rPr>
                <w:sz w:val="18"/>
              </w:rPr>
              <w:t>204 (46,7 %)</w:t>
            </w:r>
          </w:p>
        </w:tc>
        <w:tc>
          <w:tcPr>
            <w:tcW w:type="dxa" w:w="2436"/>
            <w:vAlign w:val="center"/>
          </w:tcPr>
          <w:p>
            <w:r>
              <w:rPr>
                <w:sz w:val="18"/>
              </w:rPr>
              <w:t>102 (23,3 %)</w:t>
            </w:r>
          </w:p>
        </w:tc>
      </w:tr>
      <w:tr>
        <w:tc>
          <w:tcPr>
            <w:tcW w:type="dxa" w:w="2436"/>
            <w:vAlign w:val="center"/>
          </w:tcPr>
          <w:p>
            <w:r>
              <w:rPr>
                <w:sz w:val="18"/>
              </w:rPr>
              <w:t>Aucun gène unique ne suffit</w:t>
            </w:r>
          </w:p>
        </w:tc>
        <w:tc>
          <w:tcPr>
            <w:tcW w:type="dxa" w:w="2436"/>
            <w:vAlign w:val="center"/>
          </w:tcPr>
          <w:p>
            <w:r>
              <w:rPr>
                <w:sz w:val="18"/>
              </w:rPr>
              <w:t>186 (35,1 %)</w:t>
            </w:r>
          </w:p>
        </w:tc>
        <w:tc>
          <w:tcPr>
            <w:tcW w:type="dxa" w:w="2436"/>
            <w:vAlign w:val="center"/>
          </w:tcPr>
          <w:p>
            <w:r>
              <w:rPr>
                <w:sz w:val="18"/>
              </w:rPr>
              <w:t>166 (38,0 %)</w:t>
            </w:r>
          </w:p>
        </w:tc>
        <w:tc>
          <w:tcPr>
            <w:tcW w:type="dxa" w:w="2436"/>
            <w:vAlign w:val="center"/>
          </w:tcPr>
          <w:p>
            <w:r>
              <w:rPr>
                <w:sz w:val="18"/>
              </w:rPr>
              <w:t>281 (64,3 %)</w:t>
            </w:r>
          </w:p>
        </w:tc>
      </w:tr>
    </w:tbl>
    <w:p>
      <w:pPr>
        <w:spacing w:after="20"/>
      </w:pPr>
    </w:p>
    <w:p>
      <w:r>
        <w:t>Le contrôle à ensemble médicamenteux constant montre que l’augmentation négative fait passer la proportion de médicaments pour lesquels aucun gène unique ne suffit de 38,0 % à 64,3 %. L’écart de 26,3 points est donc imputable à l’augmentation négative et ne doit pas être présenté comme une preuve biologique supplémentaire du multi-gène.</w:t>
      </w:r>
    </w:p>
    <w:p>
      <w:r>
        <w:t>Sur le corpus documentaire d’origine, la valeur la plus défendable pour motiver RQ1 était 186/530 (35,1 %). Cette analyse justifie l’expérience, mais ne la remplace pas : l’apport du profil multi-gènes doit être mesuré par une ablation single-gene versus multi-gènes sous le même protocole.</w:t>
      </w:r>
    </w:p>
    <w:p>
      <w:r>
        <w:t>Le même critère, appliqué au corpus v3 dont les étiquettes proviennent des lignes directrices, donne un résultat différent.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Catégorie</w:t>
            </w:r>
          </w:p>
        </w:tc>
        <w:tc>
          <w:tcPr>
            <w:tcW w:type="dxa" w:w="3249"/>
            <w:shd w:fill="D9EAF7"/>
          </w:tcPr>
          <w:p>
            <w:r>
              <w:rPr>
                <w:b/>
                <w:sz w:val="18"/>
              </w:rPr>
              <w:t>Corpus v3 (23 667 lignes, 76 médicaments)</w:t>
            </w:r>
          </w:p>
        </w:tc>
        <w:tc>
          <w:tcPr>
            <w:tcW w:type="dxa" w:w="3249"/>
            <w:shd w:fill="D9EAF7"/>
          </w:tcPr>
          <w:p>
            <w:r>
              <w:rPr>
                <w:b/>
                <w:sz w:val="18"/>
              </w:rPr>
              <w:t>Corpus v3 croisé (76 028 lignes, 76 médicaments)</w:t>
            </w:r>
          </w:p>
        </w:tc>
      </w:tr>
      <w:tr>
        <w:tc>
          <w:tcPr>
            <w:tcW w:type="dxa" w:w="3249"/>
            <w:vAlign w:val="center"/>
          </w:tcPr>
          <w:p>
            <w:r>
              <w:rPr>
                <w:sz w:val="18"/>
              </w:rPr>
              <w:t>Action constante</w:t>
            </w:r>
          </w:p>
        </w:tc>
        <w:tc>
          <w:tcPr>
            <w:tcW w:type="dxa" w:w="3249"/>
            <w:vAlign w:val="center"/>
          </w:tcPr>
          <w:p>
            <w:r>
              <w:rPr>
                <w:sz w:val="18"/>
              </w:rPr>
              <w:t>39 (51,3 %)</w:t>
            </w:r>
          </w:p>
        </w:tc>
        <w:tc>
          <w:tcPr>
            <w:tcW w:type="dxa" w:w="3249"/>
            <w:vAlign w:val="center"/>
          </w:tcPr>
          <w:p>
            <w:r>
              <w:rPr>
                <w:sz w:val="18"/>
              </w:rPr>
              <w:t>32 (42,1 %)</w:t>
            </w:r>
          </w:p>
        </w:tc>
      </w:tr>
      <w:tr>
        <w:tc>
          <w:tcPr>
            <w:tcW w:type="dxa" w:w="3249"/>
            <w:vAlign w:val="center"/>
          </w:tcPr>
          <w:p>
            <w:r>
              <w:rPr>
                <w:sz w:val="18"/>
              </w:rPr>
              <w:t>Déterminé par un seul gène</w:t>
            </w:r>
          </w:p>
        </w:tc>
        <w:tc>
          <w:tcPr>
            <w:tcW w:type="dxa" w:w="3249"/>
            <w:vAlign w:val="center"/>
          </w:tcPr>
          <w:p>
            <w:r>
              <w:rPr>
                <w:sz w:val="18"/>
              </w:rPr>
              <w:t>33 (43,4 %)</w:t>
            </w:r>
          </w:p>
        </w:tc>
        <w:tc>
          <w:tcPr>
            <w:tcW w:type="dxa" w:w="3249"/>
            <w:vAlign w:val="center"/>
          </w:tcPr>
          <w:p>
            <w:r>
              <w:rPr>
                <w:sz w:val="18"/>
              </w:rPr>
              <w:t>38 (50,0 %)</w:t>
            </w:r>
          </w:p>
        </w:tc>
      </w:tr>
      <w:tr>
        <w:tc>
          <w:tcPr>
            <w:tcW w:type="dxa" w:w="3249"/>
            <w:vAlign w:val="center"/>
          </w:tcPr>
          <w:p>
            <w:r>
              <w:rPr>
                <w:sz w:val="18"/>
              </w:rPr>
              <w:t>Aucun gène unique ne suffit</w:t>
            </w:r>
          </w:p>
        </w:tc>
        <w:tc>
          <w:tcPr>
            <w:tcW w:type="dxa" w:w="3249"/>
            <w:vAlign w:val="center"/>
          </w:tcPr>
          <w:p>
            <w:r>
              <w:rPr>
                <w:sz w:val="18"/>
              </w:rPr>
              <w:t>4 (5,3 %)</w:t>
            </w:r>
          </w:p>
        </w:tc>
        <w:tc>
          <w:tcPr>
            <w:tcW w:type="dxa" w:w="3249"/>
            <w:vAlign w:val="center"/>
          </w:tcPr>
          <w:p>
            <w:r>
              <w:rPr>
                <w:sz w:val="18"/>
              </w:rPr>
              <w:t>6 (7,9 %)</w:t>
            </w:r>
          </w:p>
        </w:tc>
      </w:tr>
    </w:tbl>
    <w:p/>
    <w:p>
      <w:r>
        <w:t>Lorsque les étiquettes suivent le texte des lignes directrices, 6 médicaments sur 76 (7,9 %) exigent plus d’un gène dans le corpus croisé : amitriptyline, clomipramine, doxépine, imipramine, sertraline et trimipramine. La proportion de 35,1 % observée sur le corpus documentaire d’origine (186/530) ne se retrouve donc pas. Cette différence est cohérente avec le désaccord entre les anciennes étiquettes et les lignes directrices (§ 3.5.4), sans qu’il soit possible de l’attribuer à une cause unique. Deux précautions s’imposent : le critère porte sur la cohérence observable dans les données, de sorte qu’un médicament dont la règle fait intervenir deux gènes, dont l’un est constant dans les profils réels, est classé « un seul gène » ; et il ne mesure pas l’utilité du profil multi-gènes pour un modèle.</w:t>
      </w:r>
    </w:p>
    <w:p>
      <w:r>
        <w:t>La justification du multi-gène par le déterminisme est donc plus faible que ne le laissait penser le chiffre 186/530 : sur le périmètre couvert par les lignes directrices, la décision dépend le plus souvent d’un seul gène. Cette analyse ne tranche pas RQ1, qui sera testée par l’ablation single-gene versus multi-gènes (chapitre 5) ; un résultat nul sera rapporté tel quel.</w:t>
      </w:r>
    </w:p>
    <w:p>
      <w:pPr>
        <w:pStyle w:val="Heading2"/>
      </w:pPr>
      <w:r>
        <w:t>3.9 Limites méthodologiques du corpus</w:t>
      </w:r>
    </w:p>
    <w:p>
      <w:pPr>
        <w:pStyle w:val="ListBullet"/>
      </w:pPr>
      <w:r>
        <w:t>Les étiquettes dérivent de connaissances et recommandations publiées ; elles ne proviennent pas d’une cohorte prospective de réponses thérapeutiques observées.</w:t>
      </w:r>
    </w:p>
    <w:p>
      <w:pPr>
        <w:pStyle w:val="ListBullet"/>
      </w:pPr>
      <w:r>
        <w:t>L’encodage numérique harmonise des variables biologiquement hétérogènes et ne doit pas être surinterprété comme une échelle clinique universelle.</w:t>
      </w:r>
    </w:p>
    <w:p>
      <w:pPr>
        <w:pStyle w:val="ListBullet"/>
      </w:pPr>
      <w:r>
        <w:t>Sept colonnes sont constantes dans NEG-v1 et dix-huit dans le corpus v3 croisé ; plusieurs loci nécessitent des appels spécialisés.</w:t>
      </w:r>
    </w:p>
    <w:p>
      <w:pPr>
        <w:pStyle w:val="ListBullet"/>
      </w:pPr>
      <w:r>
        <w:t>La couverture moléculaire n’est pas totale : 93 entités du corpus documentaire n’ont pas d’empreinte exploitable dans la version courante.</w:t>
      </w:r>
    </w:p>
    <w:p>
      <w:pPr>
        <w:pStyle w:val="ListBullet"/>
      </w:pPr>
      <w:r>
        <w:t>NEG-v1 présente un biais d’échantillonnage lié à trois négatifs fixes par profil et un décalage de distribution avec l’interrogation exhaustive du référentiel ; les étiquettes du corpus documentaire dont il est issu concordent à 19,1 % avec les règles des lignes directrices. Il est conservé comme première itération et n’est pas utilisé pour les résultats définitifs.</w:t>
      </w:r>
    </w:p>
    <w:p>
      <w:pPr>
        <w:pStyle w:val="ListBullet"/>
      </w:pPr>
      <w:r>
        <w:t>Dans NEG-v1, une paire non documentée n’est pas une preuve d’absence d’interaction biologique : la classe négative décrit l’état des sources interrogées.</w:t>
      </w:r>
    </w:p>
    <w:p>
      <w:pPr>
        <w:pStyle w:val="ListBullet"/>
      </w:pPr>
      <w:r>
        <w:t>Le corpus v3 ne couvre que 76 médicaments sur 530, correspondant à des règles portant sur 15 gènes ; pour les autres médicaments, aucune étiquette fondée sur une ligne directrice n’est disponible.</w:t>
      </w:r>
    </w:p>
    <w:p>
      <w:pPr>
        <w:pStyle w:val="ListBullet"/>
      </w:pPr>
      <w:r>
        <w:t>Les étiquettes étant calculées de façon déterministe à partir des règles, les métriques mesurent la fidélité aux lignes directrices ; l’apport propre du modèle ne peut être jugé que sur des protocoles qui sortent de ce cadre (médicaments exclus de l’apprentissage, calibration, profils rares).</w:t>
      </w:r>
    </w:p>
    <w:p>
      <w:pPr>
        <w:pStyle w:val="ListBullet"/>
      </w:pPr>
      <w:r>
        <w:t>59 règles mono-gène et 22 règles à deux gènes ambiguës, ainsi que les règles conditionnelles non acceptées, sont exclues dans l’attente d’une relecture experte ; les 123 règles de G6PD, MT-RNR1 et HLA-B sont exclues tant que le codage de leurs valeurs n’est pas validé.</w:t>
      </w:r>
    </w:p>
    <w:p>
      <w:pPr>
        <w:pStyle w:val="ListBullet"/>
      </w:pPr>
      <w:r>
        <w:t>Les lignes d’un même individu ne sont pas indépendantes (un profil est associé à tous les médicaments couverts), d’où le groupement par famille lors de la validation.</w:t>
      </w:r>
    </w:p>
    <w:p>
      <w:pPr>
        <w:pStyle w:val="ListBullet"/>
      </w:pPr>
      <w:r>
        <w:t>Le codage par défaut des gènes non appelés (1,0) confond « normal » et « non déterminé » ; une convention distinguant ces deux états est en cours de définition pour le traitement des VCF de l’application.</w:t>
      </w:r>
    </w:p>
    <w:p>
      <w:pPr>
        <w:pStyle w:val="Heading2"/>
      </w:pPr>
      <w:r>
        <w:t>3.10 Traçabilité et reproductibilité</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Fichier</w:t>
            </w:r>
          </w:p>
        </w:tc>
        <w:tc>
          <w:tcPr>
            <w:tcW w:type="dxa" w:w="4873"/>
            <w:shd w:fill="D9EAF7"/>
          </w:tcPr>
          <w:p>
            <w:r>
              <w:rPr>
                <w:b/>
                <w:sz w:val="18"/>
              </w:rPr>
              <w:t>Rôle</w:t>
            </w:r>
          </w:p>
        </w:tc>
      </w:tr>
      <w:tr>
        <w:tc>
          <w:tcPr>
            <w:tcW w:type="dxa" w:w="4873"/>
            <w:vAlign w:val="center"/>
          </w:tcPr>
          <w:p>
            <w:r>
              <w:rPr>
                <w:sz w:val="18"/>
              </w:rPr>
              <w:t>phenotype_drug_dataset_FINAL.csv</w:t>
            </w:r>
          </w:p>
        </w:tc>
        <w:tc>
          <w:tcPr>
            <w:tcW w:type="dxa" w:w="4873"/>
            <w:vAlign w:val="center"/>
          </w:tcPr>
          <w:p>
            <w:r>
              <w:rPr>
                <w:sz w:val="18"/>
              </w:rPr>
              <w:t>Corpus documentaire avant augmentation négative</w:t>
            </w:r>
          </w:p>
        </w:tc>
      </w:tr>
      <w:tr>
        <w:tc>
          <w:tcPr>
            <w:tcW w:type="dxa" w:w="4873"/>
            <w:vAlign w:val="center"/>
          </w:tcPr>
          <w:p>
            <w:r>
              <w:rPr>
                <w:sz w:val="18"/>
              </w:rPr>
              <w:t>phenotype_drug_dataset_NEG.csv</w:t>
            </w:r>
          </w:p>
        </w:tc>
        <w:tc>
          <w:tcPr>
            <w:tcW w:type="dxa" w:w="4873"/>
            <w:vAlign w:val="center"/>
          </w:tcPr>
          <w:p>
            <w:r>
              <w:rPr>
                <w:sz w:val="18"/>
              </w:rPr>
              <w:t>Corpus NEG-v1 intermédiaire, 57 053 lignes</w:t>
            </w:r>
          </w:p>
        </w:tc>
      </w:tr>
      <w:tr>
        <w:tc>
          <w:tcPr>
            <w:tcW w:type="dxa" w:w="4873"/>
            <w:vAlign w:val="center"/>
          </w:tcPr>
          <w:p>
            <w:r>
              <w:rPr>
                <w:sz w:val="18"/>
              </w:rPr>
              <w:t>drug_fingerprints_v2.pkl</w:t>
            </w:r>
          </w:p>
        </w:tc>
        <w:tc>
          <w:tcPr>
            <w:tcW w:type="dxa" w:w="4873"/>
            <w:vAlign w:val="center"/>
          </w:tcPr>
          <w:p>
            <w:r>
              <w:rPr>
                <w:sz w:val="18"/>
              </w:rPr>
              <w:t>Empreintes moléculaires corrigées pour 437 médicaments</w:t>
            </w:r>
          </w:p>
        </w:tc>
      </w:tr>
      <w:tr>
        <w:tc>
          <w:tcPr>
            <w:tcW w:type="dxa" w:w="4873"/>
            <w:vAlign w:val="center"/>
          </w:tcPr>
          <w:p>
            <w:r>
              <w:rPr>
                <w:sz w:val="18"/>
              </w:rPr>
              <w:t>drug_smiles.csv</w:t>
            </w:r>
          </w:p>
        </w:tc>
        <w:tc>
          <w:tcPr>
            <w:tcW w:type="dxa" w:w="4873"/>
            <w:vAlign w:val="center"/>
          </w:tcPr>
          <w:p>
            <w:r>
              <w:rPr>
                <w:sz w:val="18"/>
              </w:rPr>
              <w:t>Structures SMILES et identifiants PubChem</w:t>
            </w:r>
          </w:p>
        </w:tc>
      </w:tr>
      <w:tr>
        <w:tc>
          <w:tcPr>
            <w:tcW w:type="dxa" w:w="4873"/>
            <w:vAlign w:val="center"/>
          </w:tcPr>
          <w:p>
            <w:r>
              <w:rPr>
                <w:sz w:val="18"/>
              </w:rPr>
              <w:t>gene_sheets.md / gene_sheets.csv</w:t>
            </w:r>
          </w:p>
        </w:tc>
        <w:tc>
          <w:tcPr>
            <w:tcW w:type="dxa" w:w="4873"/>
            <w:vAlign w:val="center"/>
          </w:tcPr>
          <w:p>
            <w:r>
              <w:rPr>
                <w:sz w:val="18"/>
              </w:rPr>
              <w:t>Origine, encodage et limites par gène</w:t>
            </w:r>
          </w:p>
        </w:tc>
      </w:tr>
      <w:tr>
        <w:tc>
          <w:tcPr>
            <w:tcW w:type="dxa" w:w="4873"/>
            <w:vAlign w:val="center"/>
          </w:tcPr>
          <w:p>
            <w:r>
              <w:rPr>
                <w:sz w:val="18"/>
              </w:rPr>
              <w:t>conflict_audit.csv / conflict_audit_report.md</w:t>
            </w:r>
          </w:p>
        </w:tc>
        <w:tc>
          <w:tcPr>
            <w:tcW w:type="dxa" w:w="4873"/>
            <w:vAlign w:val="center"/>
          </w:tcPr>
          <w:p>
            <w:r>
              <w:rPr>
                <w:sz w:val="18"/>
              </w:rPr>
              <w:t>Audit des conflits d’étiquettes</w:t>
            </w:r>
          </w:p>
        </w:tc>
      </w:tr>
      <w:tr>
        <w:tc>
          <w:tcPr>
            <w:tcW w:type="dxa" w:w="4873"/>
            <w:vAlign w:val="center"/>
          </w:tcPr>
          <w:p>
            <w:r>
              <w:rPr>
                <w:sz w:val="18"/>
              </w:rPr>
              <w:t>drug_dictionary.csv / drug_coverage_report.md</w:t>
            </w:r>
          </w:p>
        </w:tc>
        <w:tc>
          <w:tcPr>
            <w:tcW w:type="dxa" w:w="4873"/>
            <w:vAlign w:val="center"/>
          </w:tcPr>
          <w:p>
            <w:r>
              <w:rPr>
                <w:sz w:val="18"/>
              </w:rPr>
              <w:t>Couverture moléculaire et motifs d’exclusion</w:t>
            </w:r>
          </w:p>
        </w:tc>
      </w:tr>
      <w:tr>
        <w:tc>
          <w:tcPr>
            <w:tcW w:type="dxa" w:w="4873"/>
            <w:vAlign w:val="center"/>
          </w:tcPr>
          <w:p>
            <w:r>
              <w:rPr>
                <w:sz w:val="18"/>
              </w:rPr>
              <w:t>sample_family_report.md</w:t>
            </w:r>
          </w:p>
        </w:tc>
        <w:tc>
          <w:tcPr>
            <w:tcW w:type="dxa" w:w="4873"/>
            <w:vAlign w:val="center"/>
          </w:tcPr>
          <w:p>
            <w:r>
              <w:rPr>
                <w:sz w:val="18"/>
              </w:rPr>
              <w:t>Reconstruction des groupes et structure familiale</w:t>
            </w:r>
          </w:p>
        </w:tc>
      </w:tr>
      <w:tr>
        <w:tc>
          <w:tcPr>
            <w:tcW w:type="dxa" w:w="4873"/>
            <w:vAlign w:val="center"/>
          </w:tcPr>
          <w:p>
            <w:r>
              <w:rPr>
                <w:sz w:val="18"/>
              </w:rPr>
              <w:t>negatifs_report.md</w:t>
            </w:r>
          </w:p>
        </w:tc>
        <w:tc>
          <w:tcPr>
            <w:tcW w:type="dxa" w:w="4873"/>
            <w:vAlign w:val="center"/>
          </w:tcPr>
          <w:p>
            <w:r>
              <w:rPr>
                <w:sz w:val="18"/>
              </w:rPr>
              <w:t>Construction et audit des exemples négatifs</w:t>
            </w:r>
          </w:p>
        </w:tc>
      </w:tr>
      <w:tr>
        <w:tc>
          <w:tcPr>
            <w:tcW w:type="dxa" w:w="4873"/>
            <w:vAlign w:val="center"/>
          </w:tcPr>
          <w:p>
            <w:r>
              <w:rPr>
                <w:sz w:val="18"/>
              </w:rPr>
              <w:t>fingerprints_report.md</w:t>
            </w:r>
          </w:p>
        </w:tc>
        <w:tc>
          <w:tcPr>
            <w:tcW w:type="dxa" w:w="4873"/>
            <w:vAlign w:val="center"/>
          </w:tcPr>
          <w:p>
            <w:r>
              <w:rPr>
                <w:sz w:val="18"/>
              </w:rPr>
              <w:t>Incident des empreintes nulles et recalcul</w:t>
            </w:r>
          </w:p>
        </w:tc>
      </w:tr>
      <w:tr>
        <w:tc>
          <w:tcPr>
            <w:tcW w:type="dxa" w:w="4873"/>
            <w:vAlign w:val="center"/>
          </w:tcPr>
          <w:p>
            <w:r>
              <w:rPr>
                <w:sz w:val="18"/>
              </w:rPr>
              <w:t>phenotype_drug_dataset_v3.csv</w:t>
            </w:r>
          </w:p>
        </w:tc>
        <w:tc>
          <w:tcPr>
            <w:tcW w:type="dxa" w:w="4873"/>
            <w:vAlign w:val="center"/>
          </w:tcPr>
          <w:p>
            <w:r>
              <w:rPr>
                <w:sz w:val="18"/>
              </w:rPr>
              <w:t>Corpus v3 : 23 667 lignes d’origine ré-étiquetées par les règles</w:t>
            </w:r>
          </w:p>
        </w:tc>
      </w:tr>
      <w:tr>
        <w:tc>
          <w:tcPr>
            <w:tcW w:type="dxa" w:w="4873"/>
            <w:vAlign w:val="center"/>
          </w:tcPr>
          <w:p>
            <w:r>
              <w:rPr>
                <w:sz w:val="18"/>
              </w:rPr>
              <w:t>phenotype_drug_dataset_v3_croise.csv</w:t>
            </w:r>
          </w:p>
        </w:tc>
        <w:tc>
          <w:tcPr>
            <w:tcW w:type="dxa" w:w="4873"/>
            <w:vAlign w:val="center"/>
          </w:tcPr>
          <w:p>
            <w:r>
              <w:rPr>
                <w:sz w:val="18"/>
              </w:rPr>
              <w:t>Corpus v3 croisé : 76 028 lignes, corpus de référence des expériences</w:t>
            </w:r>
          </w:p>
        </w:tc>
      </w:tr>
      <w:tr>
        <w:tc>
          <w:tcPr>
            <w:tcW w:type="dxa" w:w="4873"/>
            <w:vAlign w:val="center"/>
          </w:tcPr>
          <w:p>
            <w:r>
              <w:rPr>
                <w:sz w:val="18"/>
              </w:rPr>
              <w:t>regles_v2_monogene.csv / regles_v2_multigene.csv</w:t>
            </w:r>
          </w:p>
        </w:tc>
        <w:tc>
          <w:tcPr>
            <w:tcW w:type="dxa" w:w="4873"/>
            <w:vAlign w:val="center"/>
          </w:tcPr>
          <w:p>
            <w:r>
              <w:rPr>
                <w:sz w:val="18"/>
              </w:rPr>
              <w:t>Règles extraites des lignes directrices CPIC et DPWG (417 et 81 règles)</w:t>
            </w:r>
          </w:p>
        </w:tc>
      </w:tr>
      <w:tr>
        <w:tc>
          <w:tcPr>
            <w:tcW w:type="dxa" w:w="4873"/>
            <w:vAlign w:val="center"/>
          </w:tcPr>
          <w:p>
            <w:r>
              <w:rPr>
                <w:sz w:val="18"/>
              </w:rPr>
              <w:t>controle_regles_v2.csv / non_classees_v2.csv</w:t>
            </w:r>
          </w:p>
        </w:tc>
        <w:tc>
          <w:tcPr>
            <w:tcW w:type="dxa" w:w="4873"/>
            <w:vAlign w:val="center"/>
          </w:tcPr>
          <w:p>
            <w:r>
              <w:rPr>
                <w:sz w:val="18"/>
              </w:rPr>
              <w:t>Règles à relire (colonne de verdict) et recommandations non classées</w:t>
            </w:r>
          </w:p>
        </w:tc>
      </w:tr>
      <w:tr>
        <w:tc>
          <w:tcPr>
            <w:tcW w:type="dxa" w:w="4873"/>
            <w:vAlign w:val="center"/>
          </w:tcPr>
          <w:p>
            <w:r>
              <w:rPr>
                <w:sz w:val="18"/>
              </w:rPr>
              <w:t>corpus_v3_couverture_par_medicament.csv / _par_origine.csv</w:t>
            </w:r>
          </w:p>
        </w:tc>
        <w:tc>
          <w:tcPr>
            <w:tcW w:type="dxa" w:w="4873"/>
            <w:vAlign w:val="center"/>
          </w:tcPr>
          <w:p>
            <w:r>
              <w:rPr>
                <w:sz w:val="18"/>
              </w:rPr>
              <w:t>Couverture du corpus v3 par médicament et par origine</w:t>
            </w:r>
          </w:p>
        </w:tc>
      </w:tr>
      <w:tr>
        <w:tc>
          <w:tcPr>
            <w:tcW w:type="dxa" w:w="4873"/>
            <w:vAlign w:val="center"/>
          </w:tcPr>
          <w:p>
            <w:r>
              <w:rPr>
                <w:sz w:val="18"/>
              </w:rPr>
              <w:t>corpus_v3_tests_reference.csv</w:t>
            </w:r>
          </w:p>
        </w:tc>
        <w:tc>
          <w:tcPr>
            <w:tcW w:type="dxa" w:w="4873"/>
            <w:vAlign w:val="center"/>
          </w:tcPr>
          <w:p>
            <w:r>
              <w:rPr>
                <w:sz w:val="18"/>
              </w:rPr>
              <w:t>Résultats des 19 tests de référence</w:t>
            </w:r>
          </w:p>
        </w:tc>
      </w:tr>
      <w:tr>
        <w:tc>
          <w:tcPr>
            <w:tcW w:type="dxa" w:w="4873"/>
            <w:vAlign w:val="center"/>
          </w:tcPr>
          <w:p>
            <w:r>
              <w:rPr>
                <w:sz w:val="18"/>
              </w:rPr>
              <w:t>Corpus_v3_rapport_13oct2026_v2.md</w:t>
            </w:r>
          </w:p>
        </w:tc>
        <w:tc>
          <w:tcPr>
            <w:tcW w:type="dxa" w:w="4873"/>
            <w:vAlign w:val="center"/>
          </w:tcPr>
          <w:p>
            <w:r>
              <w:rPr>
                <w:sz w:val="18"/>
              </w:rPr>
              <w:t>Rapport de construction du corpus v3, avec les empreintes SHA256 complètes</w:t>
            </w:r>
          </w:p>
        </w:tc>
      </w:tr>
      <w:tr>
        <w:tc>
          <w:tcPr>
            <w:tcW w:type="dxa" w:w="4873"/>
            <w:vAlign w:val="center"/>
          </w:tcPr>
          <w:p>
            <w:r>
              <w:rPr>
                <w:sz w:val="18"/>
              </w:rPr>
              <w:t>protocole_commun.py</w:t>
            </w:r>
          </w:p>
        </w:tc>
        <w:tc>
          <w:tcPr>
            <w:tcW w:type="dxa" w:w="4873"/>
            <w:vAlign w:val="center"/>
          </w:tcPr>
          <w:p>
            <w:r>
              <w:rPr>
                <w:sz w:val="18"/>
              </w:rPr>
              <w:t>Protocole d’évaluation commun : ensemble final, validation croisée, métriques</w:t>
            </w:r>
          </w:p>
        </w:tc>
      </w:tr>
      <w:tr>
        <w:tc>
          <w:tcPr>
            <w:tcW w:type="dxa" w:w="4873"/>
            <w:vAlign w:val="center"/>
          </w:tcPr>
          <w:p>
            <w:r>
              <w:rPr>
                <w:sz w:val="18"/>
              </w:rPr>
              <w:t>decoupage_v7.csv</w:t>
            </w:r>
          </w:p>
        </w:tc>
        <w:tc>
          <w:tcPr>
            <w:tcW w:type="dxa" w:w="4873"/>
            <w:vAlign w:val="center"/>
          </w:tcPr>
          <w:p>
            <w:r>
              <w:rPr>
                <w:sz w:val="18"/>
              </w:rPr>
              <w:t>Rôle de chaque ligne du corpus croisé (ensemble final, pli 1 à 5)</w:t>
            </w:r>
          </w:p>
        </w:tc>
      </w:tr>
      <w:tr>
        <w:tc>
          <w:tcPr>
            <w:tcW w:type="dxa" w:w="4873"/>
            <w:vAlign w:val="center"/>
          </w:tcPr>
          <w:p>
            <w:r>
              <w:rPr>
                <w:sz w:val="18"/>
              </w:rPr>
              <w:t>train_dl_v7.py</w:t>
            </w:r>
          </w:p>
        </w:tc>
        <w:tc>
          <w:tcPr>
            <w:tcW w:type="dxa" w:w="4873"/>
            <w:vAlign w:val="center"/>
          </w:tcPr>
          <w:p>
            <w:r>
              <w:rPr>
                <w:sz w:val="18"/>
              </w:rPr>
              <w:t>Deep Learning, variantes base, film et id ; sorties dl_v7_*</w:t>
            </w:r>
          </w:p>
        </w:tc>
      </w:tr>
      <w:tr>
        <w:tc>
          <w:tcPr>
            <w:tcW w:type="dxa" w:w="4873"/>
            <w:vAlign w:val="center"/>
          </w:tcPr>
          <w:p>
            <w:r>
              <w:rPr>
                <w:sz w:val="18"/>
              </w:rPr>
              <w:t>baselines_v6.py / baselines_v6_resultats.csv</w:t>
            </w:r>
          </w:p>
        </w:tc>
        <w:tc>
          <w:tcPr>
            <w:tcW w:type="dxa" w:w="4873"/>
            <w:vAlign w:val="center"/>
          </w:tcPr>
          <w:p>
            <w:r>
              <w:rPr>
                <w:sz w:val="18"/>
              </w:rPr>
              <w:t>Repères sans apprentissage profond (classe majoritaire, médicament seul, table de règles)</w:t>
            </w:r>
          </w:p>
        </w:tc>
      </w:tr>
      <w:tr>
        <w:tc>
          <w:tcPr>
            <w:tcW w:type="dxa" w:w="4873"/>
            <w:vAlign w:val="center"/>
          </w:tcPr>
          <w:p>
            <w:r>
              <w:rPr>
                <w:sz w:val="18"/>
              </w:rPr>
              <w:t>analyse_erreurs_dl_v6.py</w:t>
            </w:r>
          </w:p>
        </w:tc>
        <w:tc>
          <w:tcPr>
            <w:tcW w:type="dxa" w:w="4873"/>
            <w:vAlign w:val="center"/>
          </w:tcPr>
          <w:p>
            <w:r>
              <w:rPr>
                <w:sz w:val="18"/>
              </w:rPr>
              <w:t>Analyse des erreurs de l’essai exploratoire du Deep Learning</w:t>
            </w:r>
          </w:p>
        </w:tc>
      </w:tr>
    </w:tbl>
    <w:p>
      <w:pPr>
        <w:spacing w:after="20"/>
      </w:pPr>
    </w:p>
    <w:p>
      <w:r>
        <w:t>Le corpus v3 croisé est enregistré sous un nom de version distinct, accompagné de son empreinte SHA256, du script exact de génération et d’un rapport d’audit. La construction est déterministe : elle ne fait appel à aucun tirage aléatoire, et les graines de validation (42) sont consignées dans le fichier de protocole commun (protocole_commun.py). Dans le corps du mémoire, une version tronquée peut être utilisée pour la lisibilité, mais les empreintes complètes sont conservées dans le dépôt ou les annexes. Aucune expérience finale ne devra être lancée avec une version différente du dataset sans créer explicitement une nouvelle version.</w:t>
      </w:r>
    </w:p>
    <w:p>
      <w:pPr>
        <w:pStyle w:val="Heading3"/>
      </w:pPr>
      <w:r>
        <w:t>3.10.1 Scripts générateurs</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Script</w:t>
            </w:r>
          </w:p>
        </w:tc>
        <w:tc>
          <w:tcPr>
            <w:tcW w:type="dxa" w:w="4873"/>
            <w:shd w:fill="D9EAF7"/>
          </w:tcPr>
          <w:p>
            <w:r>
              <w:rPr>
                <w:b/>
                <w:sz w:val="18"/>
              </w:rPr>
              <w:t>Artefact produit</w:t>
            </w:r>
          </w:p>
        </w:tc>
      </w:tr>
      <w:tr>
        <w:tc>
          <w:tcPr>
            <w:tcW w:type="dxa" w:w="4873"/>
            <w:vAlign w:val="center"/>
          </w:tcPr>
          <w:p>
            <w:r>
              <w:rPr>
                <w:sz w:val="18"/>
              </w:rPr>
              <w:t>build_dataset.py, build_final_dataset.py</w:t>
            </w:r>
          </w:p>
        </w:tc>
        <w:tc>
          <w:tcPr>
            <w:tcW w:type="dxa" w:w="4873"/>
            <w:vAlign w:val="center"/>
          </w:tcPr>
          <w:p>
            <w:r>
              <w:rPr>
                <w:sz w:val="18"/>
              </w:rPr>
              <w:t>Corpus documentaire</w:t>
            </w:r>
          </w:p>
        </w:tc>
      </w:tr>
      <w:tr>
        <w:tc>
          <w:tcPr>
            <w:tcW w:type="dxa" w:w="4873"/>
            <w:vAlign w:val="center"/>
          </w:tcPr>
          <w:p>
            <w:r>
              <w:rPr>
                <w:sz w:val="18"/>
              </w:rPr>
              <w:t>build_gene_sheets.py</w:t>
            </w:r>
          </w:p>
        </w:tc>
        <w:tc>
          <w:tcPr>
            <w:tcW w:type="dxa" w:w="4873"/>
            <w:vAlign w:val="center"/>
          </w:tcPr>
          <w:p>
            <w:r>
              <w:rPr>
                <w:sz w:val="18"/>
              </w:rPr>
              <w:t>gene_sheets.csv, gene_sheets.md</w:t>
            </w:r>
          </w:p>
        </w:tc>
      </w:tr>
      <w:tr>
        <w:tc>
          <w:tcPr>
            <w:tcW w:type="dxa" w:w="4873"/>
            <w:vAlign w:val="center"/>
          </w:tcPr>
          <w:p>
            <w:r>
              <w:rPr>
                <w:sz w:val="18"/>
              </w:rPr>
              <w:t>build_conflict_audit.py</w:t>
            </w:r>
          </w:p>
        </w:tc>
        <w:tc>
          <w:tcPr>
            <w:tcW w:type="dxa" w:w="4873"/>
            <w:vAlign w:val="center"/>
          </w:tcPr>
          <w:p>
            <w:r>
              <w:rPr>
                <w:sz w:val="18"/>
              </w:rPr>
              <w:t>conflict_audit.csv, conflict_audit_report.md</w:t>
            </w:r>
          </w:p>
        </w:tc>
      </w:tr>
      <w:tr>
        <w:tc>
          <w:tcPr>
            <w:tcW w:type="dxa" w:w="4873"/>
            <w:vAlign w:val="center"/>
          </w:tcPr>
          <w:p>
            <w:r>
              <w:rPr>
                <w:sz w:val="18"/>
              </w:rPr>
              <w:t>build_drug_dictionary.py</w:t>
            </w:r>
          </w:p>
        </w:tc>
        <w:tc>
          <w:tcPr>
            <w:tcW w:type="dxa" w:w="4873"/>
            <w:vAlign w:val="center"/>
          </w:tcPr>
          <w:p>
            <w:r>
              <w:rPr>
                <w:sz w:val="18"/>
              </w:rPr>
              <w:t>drug_dictionary.csv, drug_coverage_report.md</w:t>
            </w:r>
          </w:p>
        </w:tc>
      </w:tr>
      <w:tr>
        <w:tc>
          <w:tcPr>
            <w:tcW w:type="dxa" w:w="4873"/>
            <w:vAlign w:val="center"/>
          </w:tcPr>
          <w:p>
            <w:r>
              <w:rPr>
                <w:sz w:val="18"/>
              </w:rPr>
              <w:t>build_fingerprints.py</w:t>
            </w:r>
          </w:p>
        </w:tc>
        <w:tc>
          <w:tcPr>
            <w:tcW w:type="dxa" w:w="4873"/>
            <w:vAlign w:val="center"/>
          </w:tcPr>
          <w:p>
            <w:r>
              <w:rPr>
                <w:sz w:val="18"/>
              </w:rPr>
              <w:t>drug_fingerprints_v2.pkl, drug_smiles.csv, fingerprints_report.md</w:t>
            </w:r>
          </w:p>
        </w:tc>
      </w:tr>
      <w:tr>
        <w:tc>
          <w:tcPr>
            <w:tcW w:type="dxa" w:w="4873"/>
            <w:vAlign w:val="center"/>
          </w:tcPr>
          <w:p>
            <w:r>
              <w:rPr>
                <w:sz w:val="18"/>
              </w:rPr>
              <w:t>completer_fingerprints.py</w:t>
            </w:r>
          </w:p>
        </w:tc>
        <w:tc>
          <w:tcPr>
            <w:tcW w:type="dxa" w:w="4873"/>
            <w:vAlign w:val="center"/>
          </w:tcPr>
          <w:p>
            <w:r>
              <w:rPr>
                <w:sz w:val="18"/>
              </w:rPr>
              <w:t>Seconde passe de récupération des 35 structures manquantes</w:t>
            </w:r>
          </w:p>
        </w:tc>
      </w:tr>
      <w:tr>
        <w:tc>
          <w:tcPr>
            <w:tcW w:type="dxa" w:w="4873"/>
            <w:vAlign w:val="center"/>
          </w:tcPr>
          <w:p>
            <w:r>
              <w:rPr>
                <w:sz w:val="18"/>
              </w:rPr>
              <w:t>build_dataset_negatifs.py</w:t>
            </w:r>
          </w:p>
        </w:tc>
        <w:tc>
          <w:tcPr>
            <w:tcW w:type="dxa" w:w="4873"/>
            <w:vAlign w:val="center"/>
          </w:tcPr>
          <w:p>
            <w:r>
              <w:rPr>
                <w:sz w:val="18"/>
              </w:rPr>
              <w:t>phenotype_drug_dataset_NEG.csv, negatifs_report.md</w:t>
            </w:r>
          </w:p>
        </w:tc>
      </w:tr>
      <w:tr>
        <w:tc>
          <w:tcPr>
            <w:tcW w:type="dxa" w:w="4873"/>
            <w:vAlign w:val="center"/>
          </w:tcPr>
          <w:p>
            <w:r>
              <w:rPr>
                <w:sz w:val="18"/>
              </w:rPr>
              <w:t>train_fp.py</w:t>
            </w:r>
          </w:p>
        </w:tc>
        <w:tc>
          <w:tcPr>
            <w:tcW w:type="dxa" w:w="4873"/>
            <w:vAlign w:val="center"/>
          </w:tcPr>
          <w:p>
            <w:r>
              <w:rPr>
                <w:sz w:val="18"/>
              </w:rPr>
              <w:t>Modèles entraînés et scores de validation croisée</w:t>
            </w:r>
          </w:p>
        </w:tc>
      </w:tr>
      <w:tr>
        <w:tc>
          <w:tcPr>
            <w:tcW w:type="dxa" w:w="4873"/>
            <w:vAlign w:val="center"/>
          </w:tcPr>
          <w:p>
            <w:r>
              <w:rPr>
                <w:sz w:val="18"/>
              </w:rPr>
              <w:t>extraire_regles_v2.py</w:t>
            </w:r>
          </w:p>
        </w:tc>
        <w:tc>
          <w:tcPr>
            <w:tcW w:type="dxa" w:w="4873"/>
            <w:vAlign w:val="center"/>
          </w:tcPr>
          <w:p>
            <w:r>
              <w:rPr>
                <w:sz w:val="18"/>
              </w:rPr>
              <w:t>regles_v2_monogene.csv, regles_v2_multigene.csv, controle_regles_v2.csv, non_classees_v2.csv</w:t>
            </w:r>
          </w:p>
        </w:tc>
      </w:tr>
      <w:tr>
        <w:tc>
          <w:tcPr>
            <w:tcW w:type="dxa" w:w="4873"/>
            <w:vAlign w:val="center"/>
          </w:tcPr>
          <w:p>
            <w:r>
              <w:rPr>
                <w:sz w:val="18"/>
              </w:rPr>
              <w:t>construire_corpus_v3.py</w:t>
            </w:r>
          </w:p>
        </w:tc>
        <w:tc>
          <w:tcPr>
            <w:tcW w:type="dxa" w:w="4873"/>
            <w:vAlign w:val="center"/>
          </w:tcPr>
          <w:p>
            <w:r>
              <w:rPr>
                <w:sz w:val="18"/>
              </w:rPr>
              <w:t>phenotype_drug_dataset_v3.csv, tableaux de couverture</w:t>
            </w:r>
          </w:p>
        </w:tc>
      </w:tr>
      <w:tr>
        <w:tc>
          <w:tcPr>
            <w:tcW w:type="dxa" w:w="4873"/>
            <w:vAlign w:val="center"/>
          </w:tcPr>
          <w:p>
            <w:r>
              <w:rPr>
                <w:sz w:val="18"/>
              </w:rPr>
              <w:t>croiser_profils_medicaments_v3.py</w:t>
            </w:r>
          </w:p>
        </w:tc>
        <w:tc>
          <w:tcPr>
            <w:tcW w:type="dxa" w:w="4873"/>
            <w:vAlign w:val="center"/>
          </w:tcPr>
          <w:p>
            <w:r>
              <w:rPr>
                <w:sz w:val="18"/>
              </w:rPr>
              <w:t>phenotype_drug_dataset_v3_croise.csv</w:t>
            </w:r>
          </w:p>
        </w:tc>
      </w:tr>
      <w:tr>
        <w:tc>
          <w:tcPr>
            <w:tcW w:type="dxa" w:w="4873"/>
            <w:vAlign w:val="center"/>
          </w:tcPr>
          <w:p>
            <w:r>
              <w:rPr>
                <w:sz w:val="18"/>
              </w:rPr>
              <w:t>tests_reference_corpus_v3.py</w:t>
            </w:r>
          </w:p>
        </w:tc>
        <w:tc>
          <w:tcPr>
            <w:tcW w:type="dxa" w:w="4873"/>
            <w:vAlign w:val="center"/>
          </w:tcPr>
          <w:p>
            <w:r>
              <w:rPr>
                <w:sz w:val="18"/>
              </w:rPr>
              <w:t>corpus_v3_tests_reference.csv</w:t>
            </w:r>
          </w:p>
        </w:tc>
      </w:tr>
      <w:tr>
        <w:tc>
          <w:tcPr>
            <w:tcW w:type="dxa" w:w="4873"/>
            <w:vAlign w:val="center"/>
          </w:tcPr>
          <w:p>
            <w:r>
              <w:rPr>
                <w:sz w:val="18"/>
              </w:rPr>
              <w:t>protocole_commun.py</w:t>
            </w:r>
          </w:p>
        </w:tc>
        <w:tc>
          <w:tcPr>
            <w:tcW w:type="dxa" w:w="4873"/>
            <w:vAlign w:val="center"/>
          </w:tcPr>
          <w:p>
            <w:r>
              <w:rPr>
                <w:sz w:val="18"/>
              </w:rPr>
              <w:t>Découpage commun (decoupage_v7.csv) et fonction de métriques</w:t>
            </w:r>
          </w:p>
        </w:tc>
      </w:tr>
      <w:tr>
        <w:tc>
          <w:tcPr>
            <w:tcW w:type="dxa" w:w="4873"/>
            <w:vAlign w:val="center"/>
          </w:tcPr>
          <w:p>
            <w:r>
              <w:rPr>
                <w:sz w:val="18"/>
              </w:rPr>
              <w:t>train_dl_v6.py</w:t>
            </w:r>
          </w:p>
        </w:tc>
        <w:tc>
          <w:tcPr>
            <w:tcW w:type="dxa" w:w="4873"/>
            <w:vAlign w:val="center"/>
          </w:tcPr>
          <w:p>
            <w:r>
              <w:rPr>
                <w:sz w:val="18"/>
              </w:rPr>
              <w:t>Essai exploratoire du Deep Learning, sans ensemble final (dl_v6_*)</w:t>
            </w:r>
          </w:p>
        </w:tc>
      </w:tr>
      <w:tr>
        <w:tc>
          <w:tcPr>
            <w:tcW w:type="dxa" w:w="4873"/>
            <w:vAlign w:val="center"/>
          </w:tcPr>
          <w:p>
            <w:r>
              <w:rPr>
                <w:sz w:val="18"/>
              </w:rPr>
              <w:t>train_dl_v7.py</w:t>
            </w:r>
          </w:p>
        </w:tc>
        <w:tc>
          <w:tcPr>
            <w:tcW w:type="dxa" w:w="4873"/>
            <w:vAlign w:val="center"/>
          </w:tcPr>
          <w:p>
            <w:r>
              <w:rPr>
                <w:sz w:val="18"/>
              </w:rPr>
              <w:t>dl_v7_base_*, dl_v7_film_*, dl_v7_id_*</w:t>
            </w:r>
          </w:p>
        </w:tc>
      </w:tr>
      <w:tr>
        <w:tc>
          <w:tcPr>
            <w:tcW w:type="dxa" w:w="4873"/>
            <w:vAlign w:val="center"/>
          </w:tcPr>
          <w:p>
            <w:r>
              <w:rPr>
                <w:sz w:val="18"/>
              </w:rPr>
              <w:t>baselines_v6.py</w:t>
            </w:r>
          </w:p>
        </w:tc>
        <w:tc>
          <w:tcPr>
            <w:tcW w:type="dxa" w:w="4873"/>
            <w:vAlign w:val="center"/>
          </w:tcPr>
          <w:p>
            <w:r>
              <w:rPr>
                <w:sz w:val="18"/>
              </w:rPr>
              <w:t>baselines_v6_resultats.csv</w:t>
            </w:r>
          </w:p>
        </w:tc>
      </w:tr>
      <w:tr>
        <w:tc>
          <w:tcPr>
            <w:tcW w:type="dxa" w:w="4873"/>
            <w:vAlign w:val="center"/>
          </w:tcPr>
          <w:p>
            <w:r>
              <w:rPr>
                <w:sz w:val="18"/>
              </w:rPr>
              <w:t>analyse_erreurs_dl_v6.py</w:t>
            </w:r>
          </w:p>
        </w:tc>
        <w:tc>
          <w:tcPr>
            <w:tcW w:type="dxa" w:w="4873"/>
            <w:vAlign w:val="center"/>
          </w:tcPr>
          <w:p>
            <w:r>
              <w:rPr>
                <w:sz w:val="18"/>
              </w:rPr>
              <w:t>Analyse des erreurs (sortie texte)</w:t>
            </w:r>
          </w:p>
        </w:tc>
      </w:tr>
    </w:tbl>
    <w:p>
      <w:pPr>
        <w:spacing w:after="20"/>
      </w:pPr>
    </w:p>
    <w:p>
      <w:pPr>
        <w:pStyle w:val="Heading3"/>
      </w:pPr>
      <w:r>
        <w:t>3.10.2 Empreintes des artefacts courants</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Artefact</w:t>
            </w:r>
          </w:p>
        </w:tc>
        <w:tc>
          <w:tcPr>
            <w:tcW w:type="dxa" w:w="4873"/>
            <w:shd w:fill="D9EAF7"/>
          </w:tcPr>
          <w:p>
            <w:r>
              <w:rPr>
                <w:b/>
                <w:sz w:val="18"/>
              </w:rPr>
              <w:t>SHA256 (16 premiers caractères)</w:t>
            </w:r>
          </w:p>
        </w:tc>
      </w:tr>
      <w:tr>
        <w:tc>
          <w:tcPr>
            <w:tcW w:type="dxa" w:w="4873"/>
            <w:vAlign w:val="center"/>
          </w:tcPr>
          <w:p>
            <w:r>
              <w:rPr>
                <w:sz w:val="18"/>
              </w:rPr>
              <w:t>phenotype_drug_dataset_FINAL.csv</w:t>
            </w:r>
          </w:p>
        </w:tc>
        <w:tc>
          <w:tcPr>
            <w:tcW w:type="dxa" w:w="4873"/>
            <w:vAlign w:val="center"/>
          </w:tcPr>
          <w:p>
            <w:r>
              <w:rPr>
                <w:sz w:val="18"/>
              </w:rPr>
              <w:t>9a933859545ebe15</w:t>
            </w:r>
          </w:p>
        </w:tc>
      </w:tr>
      <w:tr>
        <w:tc>
          <w:tcPr>
            <w:tcW w:type="dxa" w:w="4873"/>
            <w:vAlign w:val="center"/>
          </w:tcPr>
          <w:p>
            <w:r>
              <w:rPr>
                <w:sz w:val="18"/>
              </w:rPr>
              <w:t>phenotype_drug_dataset_NEG.csv</w:t>
            </w:r>
          </w:p>
        </w:tc>
        <w:tc>
          <w:tcPr>
            <w:tcW w:type="dxa" w:w="4873"/>
            <w:vAlign w:val="center"/>
          </w:tcPr>
          <w:p>
            <w:r>
              <w:rPr>
                <w:sz w:val="18"/>
              </w:rPr>
              <w:t>3c04b5cc66edcf3c</w:t>
            </w:r>
          </w:p>
        </w:tc>
      </w:tr>
      <w:tr>
        <w:tc>
          <w:tcPr>
            <w:tcW w:type="dxa" w:w="4873"/>
            <w:vAlign w:val="center"/>
          </w:tcPr>
          <w:p>
            <w:r>
              <w:rPr>
                <w:sz w:val="18"/>
              </w:rPr>
              <w:t>drug_fingerprints_v2.pkl</w:t>
            </w:r>
          </w:p>
        </w:tc>
        <w:tc>
          <w:tcPr>
            <w:tcW w:type="dxa" w:w="4873"/>
            <w:vAlign w:val="center"/>
          </w:tcPr>
          <w:p>
            <w:r>
              <w:rPr>
                <w:sz w:val="18"/>
              </w:rPr>
              <w:t>6ca125f33750f640</w:t>
            </w:r>
          </w:p>
        </w:tc>
      </w:tr>
      <w:tr>
        <w:tc>
          <w:tcPr>
            <w:tcW w:type="dxa" w:w="4873"/>
            <w:vAlign w:val="center"/>
          </w:tcPr>
          <w:p>
            <w:r>
              <w:rPr>
                <w:sz w:val="18"/>
              </w:rPr>
              <w:t>phenotype_drug_dataset_v3.csv</w:t>
            </w:r>
          </w:p>
        </w:tc>
        <w:tc>
          <w:tcPr>
            <w:tcW w:type="dxa" w:w="4873"/>
            <w:vAlign w:val="center"/>
          </w:tcPr>
          <w:p>
            <w:r>
              <w:rPr>
                <w:sz w:val="18"/>
              </w:rPr>
              <w:t>517b96b7b8b60ce8</w:t>
            </w:r>
          </w:p>
        </w:tc>
      </w:tr>
      <w:tr>
        <w:tc>
          <w:tcPr>
            <w:tcW w:type="dxa" w:w="4873"/>
            <w:vAlign w:val="center"/>
          </w:tcPr>
          <w:p>
            <w:r>
              <w:rPr>
                <w:sz w:val="18"/>
              </w:rPr>
              <w:t>phenotype_drug_dataset_v3_croise.csv</w:t>
            </w:r>
          </w:p>
        </w:tc>
        <w:tc>
          <w:tcPr>
            <w:tcW w:type="dxa" w:w="4873"/>
            <w:vAlign w:val="center"/>
          </w:tcPr>
          <w:p>
            <w:r>
              <w:rPr>
                <w:sz w:val="18"/>
              </w:rPr>
              <w:t>d1cc932e5bc954dc</w:t>
            </w:r>
          </w:p>
        </w:tc>
      </w:tr>
      <w:tr>
        <w:tc>
          <w:tcPr>
            <w:tcW w:type="dxa" w:w="4873"/>
            <w:vAlign w:val="center"/>
          </w:tcPr>
          <w:p>
            <w:r>
              <w:rPr>
                <w:sz w:val="18"/>
              </w:rPr>
              <w:t>regles_v2_monogene.csv</w:t>
            </w:r>
          </w:p>
        </w:tc>
        <w:tc>
          <w:tcPr>
            <w:tcW w:type="dxa" w:w="4873"/>
            <w:vAlign w:val="center"/>
          </w:tcPr>
          <w:p>
            <w:r>
              <w:rPr>
                <w:sz w:val="18"/>
              </w:rPr>
              <w:t>6b9d2db2a163eca7</w:t>
            </w:r>
          </w:p>
        </w:tc>
      </w:tr>
      <w:tr>
        <w:tc>
          <w:tcPr>
            <w:tcW w:type="dxa" w:w="4873"/>
            <w:vAlign w:val="center"/>
          </w:tcPr>
          <w:p>
            <w:r>
              <w:rPr>
                <w:sz w:val="18"/>
              </w:rPr>
              <w:t>regles_v2_multigene.csv</w:t>
            </w:r>
          </w:p>
        </w:tc>
        <w:tc>
          <w:tcPr>
            <w:tcW w:type="dxa" w:w="4873"/>
            <w:vAlign w:val="center"/>
          </w:tcPr>
          <w:p>
            <w:r>
              <w:rPr>
                <w:sz w:val="18"/>
              </w:rPr>
              <w:t>3028770157e2854e</w:t>
            </w:r>
          </w:p>
        </w:tc>
      </w:tr>
      <w:tr>
        <w:tc>
          <w:tcPr>
            <w:tcW w:type="dxa" w:w="4873"/>
            <w:vAlign w:val="center"/>
          </w:tcPr>
          <w:p>
            <w:r>
              <w:rPr>
                <w:sz w:val="18"/>
              </w:rPr>
              <w:t>protocole_commun.py</w:t>
            </w:r>
          </w:p>
        </w:tc>
        <w:tc>
          <w:tcPr>
            <w:tcW w:type="dxa" w:w="4873"/>
            <w:vAlign w:val="center"/>
          </w:tcPr>
          <w:p>
            <w:r>
              <w:rPr>
                <w:sz w:val="18"/>
              </w:rPr>
              <w:t>e7057424512c63fb</w:t>
            </w:r>
          </w:p>
        </w:tc>
      </w:tr>
      <w:tr>
        <w:tc>
          <w:tcPr>
            <w:tcW w:type="dxa" w:w="4873"/>
            <w:vAlign w:val="center"/>
          </w:tcPr>
          <w:p>
            <w:r>
              <w:rPr>
                <w:sz w:val="18"/>
              </w:rPr>
              <w:t>train_dl_v7.py</w:t>
            </w:r>
          </w:p>
        </w:tc>
        <w:tc>
          <w:tcPr>
            <w:tcW w:type="dxa" w:w="4873"/>
            <w:vAlign w:val="center"/>
          </w:tcPr>
          <w:p>
            <w:r>
              <w:rPr>
                <w:sz w:val="18"/>
              </w:rPr>
              <w:t>73f10909cddf2389</w:t>
            </w:r>
          </w:p>
        </w:tc>
      </w:tr>
      <w:tr>
        <w:tc>
          <w:tcPr>
            <w:tcW w:type="dxa" w:w="4873"/>
            <w:vAlign w:val="center"/>
          </w:tcPr>
          <w:p>
            <w:r>
              <w:rPr>
                <w:sz w:val="18"/>
              </w:rPr>
              <w:t>baselines_v6.py</w:t>
            </w:r>
          </w:p>
        </w:tc>
        <w:tc>
          <w:tcPr>
            <w:tcW w:type="dxa" w:w="4873"/>
            <w:vAlign w:val="center"/>
          </w:tcPr>
          <w:p>
            <w:r>
              <w:rPr>
                <w:sz w:val="18"/>
              </w:rPr>
              <w:t>83bba4007f626743</w:t>
            </w:r>
          </w:p>
        </w:tc>
      </w:tr>
    </w:tbl>
    <w:p>
      <w:pPr>
        <w:spacing w:after="20"/>
      </w:pPr>
    </w:p>
    <w:p>
      <w:r>
        <w:t>Les empreintes complètes sont conservées dans les rapports d’audit correspondants. NEG-v1 reste identifiable sans ambiguïté bien qu’il ne constitue pas le corpus définitif : les résultats déjà obtenus restent rattachables à une version précise des données. Le corpus v3 croisé est le corpus de référence des expériences définitives.</w:t>
      </w:r>
    </w:p>
    <w:p>
      <w:pPr>
        <w:pStyle w:val="Heading3"/>
      </w:pPr>
      <w:r>
        <w:t>3.10.3 Environnement logiciel</w:t>
      </w:r>
    </w:p>
    <w:p>
      <w:r>
        <w:t>Les artefacts sérialisés portent la version de la bibliothèque qui les a produits : les objets scikit-learn du projet, StandardScaler et LabelEncoder, ont été écrits avec scikit-learn 1.8.0. Les empreintes moléculaires ont été calculées avec RDKit 2026.03.6, version consignée par fingerprints_report.md au moment de la génération. Les versions exactes de l’ensemble des bibliothèques employées pour les expériences finales seront relevées et figées en même temps que le corpus.</w:t>
      </w:r>
    </w:p>
    <w:p>
      <w:pPr>
        <w:pStyle w:val="Heading2"/>
      </w:pPr>
      <w:r>
        <w:t>3.11 Conclusion du chapitre</w:t>
      </w:r>
    </w:p>
    <w:p>
      <w:r>
        <w:t>La construction de PharmaGeno montre qu’un jeu de données pharmacogénomique exploitable ne résulte pas d’une simple concaténation de bases. Elle nécessite une traçabilité des sources, une gestion explicite des conflits, une distinction entre profils réels et lignes documentaires, un encodage prudent de variables biologiquement hétérogènes, un contrôle de la représentation moléculaire et des étiquettes qui suivent le texte des lignes directrices plutôt qu’une catégorie de phénotype.</w:t>
      </w:r>
    </w:p>
    <w:p>
      <w:r>
        <w:t>Trois audits ont particulièrement modifié le projet : la découverte des empreintes Morgan nulles, l’identification du biais introduit par trois négatifs fixes par profil, et la mesure du désaccord (19,1 % d’accord) entre les étiquettes d’origine et les règles des lignes directrices. Ils ont conduit à la construction du corpus v3 croisé, qui restreint le périmètre à 76 médicaments mais dont chaque étiquette est traçable jusqu’à un texte de recommandation. Un ensemble final de 138 familles, mis de côté avant toute validation croisée, complète ce dispositif : il garantit que le chiffre définitif n’est pas biaisé par les choix de conception faits après les premiers résultats. Ces constats déterminent la portée des métriques obtenues et la conception des expériences suivantes. Ainsi, l’audit des données n’a pas seulement documenté le corpus ; il a directement déterminé la stratégie d’évaluation retenue pour les chapitres suivants. Le chapitre 4 présente les modèles entraînés sur ces représentations, tandis que le chapitre 5 évalue leur comportement sous des protocoles conçus pour isoler l’effet du profil multi-gènes, de la structure moléculaire et de la généralisation.</w:t>
      </w:r>
    </w:p>
    <w:p>
      <w:pPr>
        <w:pStyle w:val="Heading2"/>
      </w:pPr>
      <w:r>
        <w:t>Références du chapitre 3</w:t>
      </w:r>
    </w:p>
    <w:p>
      <w:r>
        <w:t>[1] Whirl-Carrillo M, Huddart R, Gong L, Sangkuhl K, Thorn CF, Whaley R, Klein TE. An Evidence-Based Framework for Evaluating Pharmacogenomics Knowledge for Personalized Medicine. Clinical Pharmacology &amp; Therapeutics. 2021;110(3):563-572. doi:10.1002/cpt.2350.</w:t>
      </w:r>
    </w:p>
    <w:p>
      <w:r>
        <w:t>[2] Byrska-Bishop M, Evani US, Zhao X, et al. High-coverage whole-genome sequencing of the expanded 1000 Genomes Project cohort including 602 trios. Cell. 2022;185(18):3426-3440.e19. doi:10.1016/j.cell.2022.08.004.</w:t>
      </w:r>
    </w:p>
    <w:p>
      <w:r>
        <w:t>[3] Sherman CA, Claw KG, Lee SB. Pharmacogenetic analysis of structural variation in the 1000 genomes project using whole genome sequences. Scientific Reports. 2024;14:22774. doi:10.1038/s41598-024-73748-3.</w:t>
      </w:r>
    </w:p>
    <w:p>
      <w:r>
        <w:t>[4] Kim S, Chen J, Cheng T, et al. PubChem 2025 update. Nucleic Acids Research. 2025;53(D1):D1516-D1525. doi:10.1093/nar/gkae1059.</w:t>
      </w:r>
    </w:p>
    <w:p>
      <w:r>
        <w:t>[5] RDKit. RDKit: Open-source cheminformatics. Version 2026.03.6. https://www.rdkit.org/ (consulté le 12 octobre 2026).</w:t>
      </w:r>
    </w:p>
    <w:p>
      <w:r>
        <w:t>[6] Rogers D, Hahn M. Extended-Connectivity Fingerprints. Journal of Chemical Information and Modeling. 2010;50(5):742-754. doi:10.1021/ci100050t.</w:t>
      </w:r>
    </w:p>
    <w:p>
      <w:r>
        <w:t>[7] Relling MV, Klein TE. CPIC: Clinical Pharmacogenetics Implementation Consortium of the Pharmacogenomics Research Network. Clinical Pharmacology &amp; Therapeutics. 2011;89(3):464-467. doi:10.1038/clpt.2010.279.</w:t>
      </w:r>
    </w:p>
    <w:p>
      <w:r>
        <w:t>[8] Swen JJ, Nijenhuis M, de Boer A, Grandia L, Maitland-van der Zee AH, Mulder H, Rongen GAPJM, van Schaik RHN, Schalekamp T, Touw DJ, van der Weide J, Wilffert B, Deneer VHM, Guchelaar HJ. Pharmacogenetics: From Bench to Byte — An Update of Guidelines. Clinical Pharmacology &amp; Therapeutics. 2011;89(5):662-673. doi:10.1038/clpt.2011.34.</w:t>
      </w:r>
    </w:p>
    <w:p>
      <w:r>
        <w:t>[9] Lee SB, Shin JY, Kwon NJ, Kim C, Seo JS. ClinPharmSeq: A targeted sequencing panel for clinical pharmacogenetics implementation. PLOS ONE. 2022;17(7):e0272129. doi:10.1371/journal.pone.0272129. (Référence recommandée par le projet PyPGx pour citer le logiciel.)</w:t>
      </w:r>
    </w:p>
    <w:p>
      <w:r>
        <w:t>[10] Pedregosa F, Varoquaux G, Gramfort A, Michel V, Thirion B, Grisel O, Blondel M, Prettenhofer P, Weiss R, Dubourg V, Vanderplas J, Passos A, Cournapeau D, Brucher M, Perrot M, Duchesnay É. Scikit-learn: Machine Learning in Python. Journal of Machine Learning Research. 2011;12:2825-2830.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cs="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cs="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imes New Roman" w:hAnsi="Times New Roman" w:cs="Times New Roman" w:eastAsia="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Arial" w:hAnsi="Arial"/>
      <w:b/>
      <w:bCs/>
      <w:i/>
      <w:iCs/>
      <w:color w:val="2F75B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